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D7131" w14:textId="77777777" w:rsidR="00553143" w:rsidRDefault="00553143">
      <w:pPr>
        <w:pStyle w:val="MainText"/>
        <w:spacing w:line="276" w:lineRule="auto"/>
        <w:ind w:left="0"/>
        <w:rPr>
          <w:rFonts w:ascii="Calibri" w:eastAsia="Calibri" w:hAnsi="Calibri" w:cs="Calibri"/>
        </w:rPr>
      </w:pPr>
    </w:p>
    <w:p w14:paraId="3E2EBA91" w14:textId="7234D12C" w:rsidR="00553143" w:rsidRPr="0075241F" w:rsidRDefault="004B6E7D">
      <w:pPr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>
        <w:rPr>
          <w:rFonts w:ascii="Helvetica" w:eastAsia="Helvetica" w:hAnsi="Helvetica" w:cs="Helvetica"/>
          <w:b/>
          <w:bCs/>
          <w:sz w:val="28"/>
          <w:szCs w:val="28"/>
        </w:rPr>
        <w:br/>
      </w:r>
      <w:r w:rsidR="005F6A7C">
        <w:rPr>
          <w:rFonts w:ascii="Calibri" w:hAnsi="Calibri" w:cs="Calibri"/>
          <w:b/>
          <w:bCs/>
          <w:sz w:val="28"/>
          <w:szCs w:val="28"/>
        </w:rPr>
        <w:t xml:space="preserve">CBRE: </w:t>
      </w:r>
      <w:r w:rsidRPr="0075241F">
        <w:rPr>
          <w:rFonts w:ascii="Calibri" w:hAnsi="Calibri" w:cs="Calibri"/>
          <w:b/>
          <w:bCs/>
          <w:sz w:val="28"/>
          <w:szCs w:val="28"/>
        </w:rPr>
        <w:t xml:space="preserve">V roce 2020 </w:t>
      </w:r>
      <w:r w:rsidRPr="0075241F">
        <w:rPr>
          <w:rFonts w:ascii="Calibri" w:hAnsi="Calibri" w:cs="Calibri"/>
          <w:b/>
          <w:bCs/>
          <w:sz w:val="28"/>
          <w:szCs w:val="28"/>
          <w:lang w:val="es-ES_tradnl"/>
        </w:rPr>
        <w:t>dos</w:t>
      </w:r>
      <w:r w:rsidRPr="0075241F">
        <w:rPr>
          <w:rFonts w:ascii="Calibri" w:hAnsi="Calibri" w:cs="Calibri"/>
          <w:b/>
          <w:bCs/>
          <w:sz w:val="28"/>
          <w:szCs w:val="28"/>
        </w:rPr>
        <w:t>á</w:t>
      </w:r>
      <w:proofErr w:type="spellStart"/>
      <w:r w:rsidRPr="0075241F">
        <w:rPr>
          <w:rFonts w:ascii="Calibri" w:hAnsi="Calibri" w:cs="Calibri"/>
          <w:b/>
          <w:bCs/>
          <w:sz w:val="28"/>
          <w:szCs w:val="28"/>
          <w:lang w:val="de-DE"/>
        </w:rPr>
        <w:t>hne</w:t>
      </w:r>
      <w:proofErr w:type="spellEnd"/>
      <w:r w:rsidRPr="0075241F">
        <w:rPr>
          <w:rFonts w:ascii="Calibri" w:hAnsi="Calibri" w:cs="Calibri"/>
          <w:b/>
          <w:bCs/>
          <w:sz w:val="28"/>
          <w:szCs w:val="28"/>
          <w:lang w:val="de-DE"/>
        </w:rPr>
        <w:t xml:space="preserve"> </w:t>
      </w:r>
      <w:r w:rsidRPr="0075241F">
        <w:rPr>
          <w:rFonts w:ascii="Calibri" w:hAnsi="Calibri" w:cs="Calibri"/>
          <w:b/>
          <w:bCs/>
          <w:sz w:val="28"/>
          <w:szCs w:val="28"/>
        </w:rPr>
        <w:t>objem transakcí do komerční</w:t>
      </w:r>
      <w:proofErr w:type="spellStart"/>
      <w:r w:rsidRPr="0075241F">
        <w:rPr>
          <w:rFonts w:ascii="Calibri" w:hAnsi="Calibri" w:cs="Calibri"/>
          <w:b/>
          <w:bCs/>
          <w:sz w:val="28"/>
          <w:szCs w:val="28"/>
          <w:lang w:val="en-US"/>
        </w:rPr>
        <w:t>ch</w:t>
      </w:r>
      <w:proofErr w:type="spellEnd"/>
      <w:r w:rsidRPr="0075241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 w:rsidRPr="0075241F">
        <w:rPr>
          <w:rFonts w:ascii="Calibri" w:hAnsi="Calibri" w:cs="Calibri"/>
          <w:b/>
          <w:bCs/>
          <w:sz w:val="28"/>
          <w:szCs w:val="28"/>
          <w:lang w:val="en-US"/>
        </w:rPr>
        <w:t>realit</w:t>
      </w:r>
      <w:proofErr w:type="spellEnd"/>
      <w:r w:rsidRPr="0075241F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5F6A7C">
        <w:rPr>
          <w:rFonts w:ascii="Calibri" w:hAnsi="Calibri" w:cs="Calibri"/>
          <w:b/>
          <w:bCs/>
          <w:sz w:val="28"/>
          <w:szCs w:val="28"/>
          <w:lang w:val="en-US"/>
        </w:rPr>
        <w:t xml:space="preserve">v ČR </w:t>
      </w:r>
      <w:r w:rsidR="00103108">
        <w:rPr>
          <w:rFonts w:ascii="Calibri" w:hAnsi="Calibri" w:cs="Calibri"/>
          <w:b/>
          <w:bCs/>
          <w:sz w:val="28"/>
          <w:szCs w:val="28"/>
        </w:rPr>
        <w:t>3</w:t>
      </w:r>
      <w:r w:rsidRPr="0075241F">
        <w:rPr>
          <w:rFonts w:ascii="Calibri" w:hAnsi="Calibri" w:cs="Calibri"/>
          <w:b/>
          <w:bCs/>
          <w:sz w:val="28"/>
          <w:szCs w:val="28"/>
        </w:rPr>
        <w:t xml:space="preserve"> miliardy eur </w:t>
      </w:r>
    </w:p>
    <w:p w14:paraId="21B82B8A" w14:textId="77777777" w:rsidR="00553143" w:rsidRPr="0075241F" w:rsidRDefault="00553143">
      <w:pPr>
        <w:jc w:val="both"/>
        <w:rPr>
          <w:rFonts w:ascii="Calibri" w:eastAsia="Helvetica" w:hAnsi="Calibri" w:cs="Calibri"/>
          <w:b/>
          <w:bCs/>
          <w:sz w:val="28"/>
          <w:szCs w:val="28"/>
        </w:rPr>
      </w:pPr>
    </w:p>
    <w:p w14:paraId="316AFEF6" w14:textId="6F62A1C3" w:rsidR="00553143" w:rsidRPr="0075241F" w:rsidRDefault="004B6E7D">
      <w:pPr>
        <w:jc w:val="both"/>
        <w:rPr>
          <w:rFonts w:ascii="Calibri" w:eastAsia="Calibri" w:hAnsi="Calibri" w:cs="Calibri"/>
        </w:rPr>
      </w:pPr>
      <w:r w:rsidRPr="0075241F">
        <w:rPr>
          <w:rFonts w:ascii="Calibri" w:hAnsi="Calibri" w:cs="Calibri"/>
        </w:rPr>
        <w:t>Praha,</w:t>
      </w:r>
      <w:r w:rsidR="000124B7">
        <w:rPr>
          <w:rFonts w:ascii="Calibri" w:hAnsi="Calibri" w:cs="Calibri"/>
        </w:rPr>
        <w:t xml:space="preserve"> 18.</w:t>
      </w:r>
      <w:r w:rsidRPr="0075241F">
        <w:rPr>
          <w:rFonts w:ascii="Calibri" w:hAnsi="Calibri" w:cs="Calibri"/>
        </w:rPr>
        <w:t xml:space="preserve"> prosince 2019 – CBRE, světový lídr v oblasti komerčních realitních služeb, předpovídá pozitivní </w:t>
      </w:r>
      <w:r w:rsidRPr="0075241F">
        <w:rPr>
          <w:rFonts w:ascii="Calibri" w:hAnsi="Calibri" w:cs="Calibri"/>
          <w:lang w:val="nl-NL"/>
        </w:rPr>
        <w:t>trend v</w:t>
      </w:r>
      <w:r w:rsidRPr="0075241F">
        <w:rPr>
          <w:rFonts w:ascii="Calibri" w:hAnsi="Calibri" w:cs="Calibri"/>
        </w:rPr>
        <w:t> investicích do komerčních realit i pro rok 2020.</w:t>
      </w:r>
      <w:r w:rsidR="005F6A7C">
        <w:rPr>
          <w:rFonts w:ascii="Calibri" w:hAnsi="Calibri" w:cs="Calibri"/>
        </w:rPr>
        <w:t xml:space="preserve"> </w:t>
      </w:r>
      <w:r w:rsidR="00735559">
        <w:rPr>
          <w:rFonts w:ascii="Calibri" w:hAnsi="Calibri" w:cs="Calibri"/>
        </w:rPr>
        <w:t>V příštím roce b</w:t>
      </w:r>
      <w:r w:rsidR="005F6A7C" w:rsidRPr="005F6A7C">
        <w:rPr>
          <w:rFonts w:ascii="Calibri" w:hAnsi="Calibri" w:cs="Calibri"/>
        </w:rPr>
        <w:t>ude pokračovat nárůst investic do hotelů, největší zájem bude o kancelářské budovy.</w:t>
      </w:r>
    </w:p>
    <w:p w14:paraId="70C3F530" w14:textId="77777777" w:rsidR="00553143" w:rsidRPr="0075241F" w:rsidRDefault="00553143">
      <w:pPr>
        <w:jc w:val="both"/>
        <w:rPr>
          <w:rFonts w:ascii="Calibri" w:eastAsia="Calibri" w:hAnsi="Calibri" w:cs="Calibri"/>
        </w:rPr>
      </w:pPr>
    </w:p>
    <w:p w14:paraId="28A219C4" w14:textId="0F55B555" w:rsidR="00553143" w:rsidRPr="0075241F" w:rsidRDefault="004B6E7D">
      <w:pPr>
        <w:jc w:val="both"/>
        <w:rPr>
          <w:rFonts w:ascii="Calibri" w:eastAsia="Helvetica" w:hAnsi="Calibri" w:cs="Calibri"/>
          <w:b/>
          <w:bCs/>
        </w:rPr>
      </w:pPr>
      <w:r w:rsidRPr="0075241F">
        <w:rPr>
          <w:rFonts w:ascii="Calibri" w:hAnsi="Calibri" w:cs="Calibri"/>
          <w:i/>
          <w:iCs/>
        </w:rPr>
        <w:t xml:space="preserve">„Zájem investorů o </w:t>
      </w:r>
      <w:proofErr w:type="spellStart"/>
      <w:r w:rsidRPr="0075241F">
        <w:rPr>
          <w:rFonts w:ascii="Calibri" w:hAnsi="Calibri" w:cs="Calibri"/>
          <w:i/>
          <w:iCs/>
        </w:rPr>
        <w:t>česk</w:t>
      </w:r>
      <w:proofErr w:type="spellEnd"/>
      <w:r w:rsidRPr="0075241F">
        <w:rPr>
          <w:rFonts w:ascii="Calibri" w:hAnsi="Calibri" w:cs="Calibri"/>
          <w:i/>
          <w:iCs/>
          <w:lang w:val="fr-FR"/>
        </w:rPr>
        <w:t xml:space="preserve">é </w:t>
      </w:r>
      <w:r w:rsidRPr="0075241F">
        <w:rPr>
          <w:rFonts w:ascii="Calibri" w:hAnsi="Calibri" w:cs="Calibri"/>
          <w:i/>
          <w:iCs/>
        </w:rPr>
        <w:t xml:space="preserve">komerční reality </w:t>
      </w:r>
      <w:r w:rsidR="00AB22CD">
        <w:rPr>
          <w:rFonts w:ascii="Calibri" w:hAnsi="Calibri" w:cs="Calibri"/>
          <w:i/>
          <w:iCs/>
        </w:rPr>
        <w:t>bude</w:t>
      </w:r>
      <w:r w:rsidRPr="0075241F">
        <w:rPr>
          <w:rFonts w:ascii="Calibri" w:hAnsi="Calibri" w:cs="Calibri"/>
          <w:i/>
          <w:iCs/>
        </w:rPr>
        <w:t xml:space="preserve"> i nadále vysoký. V </w:t>
      </w:r>
      <w:proofErr w:type="spellStart"/>
      <w:r w:rsidRPr="0075241F">
        <w:rPr>
          <w:rFonts w:ascii="Calibri" w:hAnsi="Calibri" w:cs="Calibri"/>
          <w:i/>
          <w:iCs/>
        </w:rPr>
        <w:t>současn</w:t>
      </w:r>
      <w:proofErr w:type="spellEnd"/>
      <w:r w:rsidRPr="0075241F">
        <w:rPr>
          <w:rFonts w:ascii="Calibri" w:hAnsi="Calibri" w:cs="Calibri"/>
          <w:i/>
          <w:iCs/>
          <w:lang w:val="fr-FR"/>
        </w:rPr>
        <w:t xml:space="preserve">é </w:t>
      </w:r>
      <w:r w:rsidRPr="0075241F">
        <w:rPr>
          <w:rFonts w:ascii="Calibri" w:hAnsi="Calibri" w:cs="Calibri"/>
          <w:i/>
          <w:iCs/>
        </w:rPr>
        <w:t xml:space="preserve">době monitorujeme již </w:t>
      </w:r>
      <w:proofErr w:type="spellStart"/>
      <w:r w:rsidRPr="0075241F">
        <w:rPr>
          <w:rFonts w:ascii="Calibri" w:hAnsi="Calibri" w:cs="Calibri"/>
          <w:i/>
          <w:iCs/>
        </w:rPr>
        <w:t>př</w:t>
      </w:r>
      <w:proofErr w:type="spellEnd"/>
      <w:r w:rsidRPr="0075241F">
        <w:rPr>
          <w:rFonts w:ascii="Calibri" w:hAnsi="Calibri" w:cs="Calibri"/>
          <w:i/>
          <w:iCs/>
          <w:lang w:val="fr-FR"/>
        </w:rPr>
        <w:t xml:space="preserve">es </w:t>
      </w:r>
      <w:r w:rsidRPr="0075241F">
        <w:rPr>
          <w:rFonts w:ascii="Calibri" w:hAnsi="Calibri" w:cs="Calibri"/>
          <w:i/>
          <w:iCs/>
        </w:rPr>
        <w:t xml:space="preserve">dvacet probíhajících jednání, </w:t>
      </w:r>
      <w:r w:rsidR="004B5978">
        <w:rPr>
          <w:rFonts w:ascii="Calibri" w:hAnsi="Calibri" w:cs="Calibri"/>
          <w:i/>
          <w:iCs/>
        </w:rPr>
        <w:t xml:space="preserve">některá mohou být uzavřena ještě do konce roku, ostatní potom </w:t>
      </w:r>
      <w:r w:rsidRPr="0075241F">
        <w:rPr>
          <w:rFonts w:ascii="Calibri" w:hAnsi="Calibri" w:cs="Calibri"/>
          <w:i/>
          <w:iCs/>
        </w:rPr>
        <w:t>budou uzavřena během roku 2020. Pro nadcházející rok</w:t>
      </w:r>
      <w:r w:rsidR="00F248AE">
        <w:rPr>
          <w:rFonts w:ascii="Calibri" w:hAnsi="Calibri" w:cs="Calibri"/>
          <w:i/>
          <w:iCs/>
        </w:rPr>
        <w:t xml:space="preserve"> tak</w:t>
      </w:r>
      <w:r w:rsidRPr="0075241F">
        <w:rPr>
          <w:rFonts w:ascii="Calibri" w:hAnsi="Calibri" w:cs="Calibri"/>
          <w:i/>
          <w:iCs/>
        </w:rPr>
        <w:t xml:space="preserve"> předpovídáme, že celkový objem transakcí dosáhne kolem </w:t>
      </w:r>
      <w:r w:rsidR="00103108">
        <w:rPr>
          <w:rFonts w:ascii="Calibri" w:hAnsi="Calibri" w:cs="Calibri"/>
          <w:i/>
          <w:iCs/>
        </w:rPr>
        <w:t>3</w:t>
      </w:r>
      <w:r w:rsidRPr="0075241F">
        <w:rPr>
          <w:rFonts w:ascii="Calibri" w:hAnsi="Calibri" w:cs="Calibri"/>
          <w:i/>
          <w:iCs/>
        </w:rPr>
        <w:t xml:space="preserve"> miliard eur. </w:t>
      </w:r>
      <w:proofErr w:type="spellStart"/>
      <w:r w:rsidR="00912576">
        <w:rPr>
          <w:rFonts w:ascii="Calibri" w:hAnsi="Calibri" w:cs="Calibri"/>
          <w:i/>
          <w:iCs/>
        </w:rPr>
        <w:t>P</w:t>
      </w:r>
      <w:r w:rsidRPr="0075241F">
        <w:rPr>
          <w:rFonts w:ascii="Calibri" w:hAnsi="Calibri" w:cs="Calibri"/>
          <w:i/>
          <w:iCs/>
        </w:rPr>
        <w:t>ředpoklá</w:t>
      </w:r>
      <w:proofErr w:type="spellEnd"/>
      <w:r w:rsidRPr="0075241F">
        <w:rPr>
          <w:rFonts w:ascii="Calibri" w:hAnsi="Calibri" w:cs="Calibri"/>
          <w:i/>
          <w:iCs/>
          <w:lang w:val="nl-NL"/>
        </w:rPr>
        <w:t>d</w:t>
      </w:r>
      <w:r w:rsidR="00912576">
        <w:rPr>
          <w:rFonts w:ascii="Calibri" w:hAnsi="Calibri" w:cs="Calibri"/>
          <w:i/>
          <w:iCs/>
          <w:lang w:val="nl-NL"/>
        </w:rPr>
        <w:t>áme</w:t>
      </w:r>
      <w:r w:rsidRPr="0075241F">
        <w:rPr>
          <w:rFonts w:ascii="Calibri" w:hAnsi="Calibri" w:cs="Calibri"/>
          <w:i/>
          <w:iCs/>
          <w:lang w:val="nl-NL"/>
        </w:rPr>
        <w:t xml:space="preserve">, </w:t>
      </w:r>
      <w:r w:rsidRPr="0075241F">
        <w:rPr>
          <w:rFonts w:ascii="Calibri" w:hAnsi="Calibri" w:cs="Calibri"/>
          <w:i/>
          <w:iCs/>
        </w:rPr>
        <w:t xml:space="preserve">že v roce 2020 bude i nadále největší zájem investorů o kancelářské nemovitosti, </w:t>
      </w:r>
      <w:r w:rsidR="00912576">
        <w:rPr>
          <w:rFonts w:ascii="Calibri" w:hAnsi="Calibri" w:cs="Calibri"/>
          <w:i/>
          <w:iCs/>
        </w:rPr>
        <w:t xml:space="preserve">ale také o alternativní sektory jako jsou hotely a rezidenční nájemní bydlení. Už v průběhu roku 2019 jsme zaznamenali </w:t>
      </w:r>
      <w:r w:rsidR="00F248AE">
        <w:rPr>
          <w:rFonts w:ascii="Calibri" w:hAnsi="Calibri" w:cs="Calibri"/>
          <w:i/>
          <w:iCs/>
        </w:rPr>
        <w:t xml:space="preserve">nárůst </w:t>
      </w:r>
      <w:r w:rsidR="00912576">
        <w:rPr>
          <w:rFonts w:ascii="Calibri" w:hAnsi="Calibri" w:cs="Calibri"/>
          <w:i/>
          <w:iCs/>
        </w:rPr>
        <w:t>transakc</w:t>
      </w:r>
      <w:r w:rsidR="00F248AE">
        <w:rPr>
          <w:rFonts w:ascii="Calibri" w:hAnsi="Calibri" w:cs="Calibri"/>
          <w:i/>
          <w:iCs/>
        </w:rPr>
        <w:t>í</w:t>
      </w:r>
      <w:r w:rsidR="00912576">
        <w:rPr>
          <w:rFonts w:ascii="Calibri" w:hAnsi="Calibri" w:cs="Calibri"/>
          <w:i/>
          <w:iCs/>
        </w:rPr>
        <w:t xml:space="preserve"> v hotelovém segmentu například</w:t>
      </w:r>
      <w:r w:rsidR="00F248AE">
        <w:rPr>
          <w:rFonts w:ascii="Calibri" w:hAnsi="Calibri" w:cs="Calibri"/>
          <w:i/>
          <w:iCs/>
        </w:rPr>
        <w:t xml:space="preserve"> z aktuálních transakcí</w:t>
      </w:r>
      <w:r w:rsidR="00912576">
        <w:rPr>
          <w:rFonts w:ascii="Calibri" w:hAnsi="Calibri" w:cs="Calibri"/>
          <w:i/>
          <w:iCs/>
        </w:rPr>
        <w:t xml:space="preserve"> </w:t>
      </w:r>
      <w:r w:rsidR="00F248AE">
        <w:rPr>
          <w:rFonts w:ascii="Calibri" w:hAnsi="Calibri" w:cs="Calibri"/>
          <w:i/>
          <w:iCs/>
        </w:rPr>
        <w:t xml:space="preserve">lze zmínit </w:t>
      </w:r>
      <w:r w:rsidR="00912576">
        <w:rPr>
          <w:rFonts w:ascii="Calibri" w:hAnsi="Calibri" w:cs="Calibri"/>
          <w:i/>
          <w:iCs/>
        </w:rPr>
        <w:t>hotel</w:t>
      </w:r>
      <w:r w:rsidRPr="0075241F">
        <w:rPr>
          <w:rFonts w:ascii="Calibri" w:hAnsi="Calibri" w:cs="Calibri"/>
          <w:i/>
          <w:iCs/>
        </w:rPr>
        <w:t xml:space="preserve"> </w:t>
      </w:r>
      <w:r w:rsidRPr="0075241F">
        <w:rPr>
          <w:rFonts w:ascii="Calibri" w:hAnsi="Calibri" w:cs="Calibri"/>
          <w:i/>
          <w:iCs/>
          <w:lang w:val="it-IT"/>
        </w:rPr>
        <w:t xml:space="preserve">Carlo IV, </w:t>
      </w:r>
      <w:proofErr w:type="spellStart"/>
      <w:r w:rsidRPr="0075241F">
        <w:rPr>
          <w:rFonts w:ascii="Calibri" w:hAnsi="Calibri" w:cs="Calibri"/>
          <w:i/>
          <w:iCs/>
        </w:rPr>
        <w:t>Intercontinental</w:t>
      </w:r>
      <w:proofErr w:type="spellEnd"/>
      <w:r w:rsidRPr="0075241F">
        <w:rPr>
          <w:rFonts w:ascii="Calibri" w:hAnsi="Calibri" w:cs="Calibri"/>
          <w:i/>
          <w:iCs/>
        </w:rPr>
        <w:t xml:space="preserve"> nebo </w:t>
      </w:r>
      <w:r w:rsidRPr="0075241F">
        <w:rPr>
          <w:rFonts w:ascii="Calibri" w:hAnsi="Calibri" w:cs="Calibri"/>
          <w:i/>
          <w:iCs/>
          <w:lang w:val="it-IT"/>
        </w:rPr>
        <w:t>Don Giovanni,</w:t>
      </w:r>
      <w:r w:rsidRPr="0075241F">
        <w:rPr>
          <w:rFonts w:ascii="Calibri" w:hAnsi="Calibri" w:cs="Calibri"/>
          <w:i/>
          <w:iCs/>
          <w:rtl/>
          <w:lang w:val="ar-SA"/>
        </w:rPr>
        <w:t>“</w:t>
      </w:r>
      <w:r w:rsidRPr="0075241F">
        <w:rPr>
          <w:rFonts w:ascii="Calibri" w:hAnsi="Calibri" w:cs="Calibri"/>
        </w:rPr>
        <w:t xml:space="preserve"> říká </w:t>
      </w:r>
      <w:r w:rsidRPr="0075241F">
        <w:rPr>
          <w:rFonts w:ascii="Calibri" w:hAnsi="Calibri" w:cs="Calibri"/>
          <w:b/>
          <w:bCs/>
          <w:lang w:val="en-US"/>
        </w:rPr>
        <w:t xml:space="preserve">Chris </w:t>
      </w:r>
      <w:proofErr w:type="spellStart"/>
      <w:r w:rsidRPr="0075241F">
        <w:rPr>
          <w:rFonts w:ascii="Calibri" w:hAnsi="Calibri" w:cs="Calibri"/>
          <w:b/>
          <w:bCs/>
          <w:lang w:val="en-US"/>
        </w:rPr>
        <w:t>Sheils</w:t>
      </w:r>
      <w:proofErr w:type="spellEnd"/>
      <w:r w:rsidRPr="0075241F">
        <w:rPr>
          <w:rFonts w:ascii="Calibri" w:hAnsi="Calibri" w:cs="Calibri"/>
          <w:b/>
          <w:bCs/>
          <w:lang w:val="en-US"/>
        </w:rPr>
        <w:t xml:space="preserve">, Head of Investment Properties </w:t>
      </w:r>
      <w:proofErr w:type="spellStart"/>
      <w:r w:rsidRPr="0075241F">
        <w:rPr>
          <w:rFonts w:ascii="Calibri" w:hAnsi="Calibri" w:cs="Calibri"/>
          <w:b/>
          <w:bCs/>
          <w:lang w:val="en-US"/>
        </w:rPr>
        <w:t>spole</w:t>
      </w:r>
      <w:r w:rsidRPr="0075241F">
        <w:rPr>
          <w:rFonts w:ascii="Calibri" w:hAnsi="Calibri" w:cs="Calibri"/>
          <w:b/>
          <w:bCs/>
        </w:rPr>
        <w:t>čnosti</w:t>
      </w:r>
      <w:proofErr w:type="spellEnd"/>
      <w:r w:rsidRPr="0075241F">
        <w:rPr>
          <w:rFonts w:ascii="Calibri" w:hAnsi="Calibri" w:cs="Calibri"/>
          <w:b/>
          <w:bCs/>
        </w:rPr>
        <w:t xml:space="preserve"> CBRE.</w:t>
      </w:r>
    </w:p>
    <w:p w14:paraId="759EEFCF" w14:textId="6AA8A2F0" w:rsidR="00553143" w:rsidRPr="0075241F" w:rsidRDefault="004B6E7D" w:rsidP="001F51F8">
      <w:pPr>
        <w:jc w:val="both"/>
        <w:rPr>
          <w:rFonts w:ascii="Calibri" w:eastAsia="Calibri" w:hAnsi="Calibri" w:cs="Calibri"/>
        </w:rPr>
      </w:pPr>
      <w:r w:rsidRPr="0075241F">
        <w:rPr>
          <w:rFonts w:ascii="Calibri" w:eastAsia="Calibri" w:hAnsi="Calibri" w:cs="Calibri"/>
        </w:rPr>
        <w:br/>
      </w:r>
      <w:r w:rsidRPr="0075241F">
        <w:rPr>
          <w:rFonts w:ascii="Calibri" w:hAnsi="Calibri" w:cs="Calibri"/>
          <w:lang w:val="en-US"/>
        </w:rPr>
        <w:t>Prime yields</w:t>
      </w:r>
      <w:r w:rsidRPr="0075241F">
        <w:rPr>
          <w:rFonts w:ascii="Calibri" w:hAnsi="Calibri" w:cs="Calibri"/>
        </w:rPr>
        <w:t xml:space="preserve"> v </w:t>
      </w:r>
      <w:proofErr w:type="spellStart"/>
      <w:r w:rsidRPr="0075241F">
        <w:rPr>
          <w:rFonts w:ascii="Calibri" w:hAnsi="Calibri" w:cs="Calibri"/>
        </w:rPr>
        <w:t>kancelářsk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 xml:space="preserve">m sektoru a </w:t>
      </w:r>
      <w:r w:rsidR="001F51F8" w:rsidRPr="0075241F">
        <w:rPr>
          <w:rFonts w:ascii="Calibri" w:hAnsi="Calibri" w:cs="Calibri"/>
          <w:lang w:val="en-US"/>
        </w:rPr>
        <w:t>h</w:t>
      </w:r>
      <w:r w:rsidRPr="0075241F">
        <w:rPr>
          <w:rFonts w:ascii="Calibri" w:hAnsi="Calibri" w:cs="Calibri"/>
          <w:lang w:val="en-US"/>
        </w:rPr>
        <w:t xml:space="preserve">igh </w:t>
      </w:r>
      <w:r w:rsidR="001F51F8" w:rsidRPr="0075241F">
        <w:rPr>
          <w:rFonts w:ascii="Calibri" w:hAnsi="Calibri" w:cs="Calibri"/>
          <w:lang w:val="en-US"/>
        </w:rPr>
        <w:t>s</w:t>
      </w:r>
      <w:r w:rsidRPr="0075241F">
        <w:rPr>
          <w:rFonts w:ascii="Calibri" w:hAnsi="Calibri" w:cs="Calibri"/>
          <w:lang w:val="en-US"/>
        </w:rPr>
        <w:t>treet</w:t>
      </w:r>
      <w:r w:rsidRPr="0075241F">
        <w:rPr>
          <w:rFonts w:ascii="Calibri" w:hAnsi="Calibri" w:cs="Calibri"/>
          <w:lang w:val="de-DE"/>
        </w:rPr>
        <w:t xml:space="preserve"> z</w:t>
      </w:r>
      <w:proofErr w:type="spellStart"/>
      <w:r w:rsidRPr="0075241F">
        <w:rPr>
          <w:rFonts w:ascii="Calibri" w:hAnsi="Calibri" w:cs="Calibri"/>
        </w:rPr>
        <w:t>ůstanou</w:t>
      </w:r>
      <w:proofErr w:type="spellEnd"/>
      <w:r w:rsidRPr="0075241F">
        <w:rPr>
          <w:rFonts w:ascii="Calibri" w:hAnsi="Calibri" w:cs="Calibri"/>
        </w:rPr>
        <w:t xml:space="preserve"> na stejné úrovni, tedy pro kancelářský sektor </w:t>
      </w:r>
      <w:r w:rsidRPr="0075241F">
        <w:rPr>
          <w:rFonts w:ascii="Calibri" w:hAnsi="Calibri" w:cs="Calibri"/>
          <w:lang w:val="en-US"/>
        </w:rPr>
        <w:t>4</w:t>
      </w:r>
      <w:proofErr w:type="gramStart"/>
      <w:r w:rsidRPr="0075241F">
        <w:rPr>
          <w:rFonts w:ascii="Calibri" w:hAnsi="Calibri" w:cs="Calibri"/>
          <w:lang w:val="en-US"/>
        </w:rPr>
        <w:t>,25</w:t>
      </w:r>
      <w:proofErr w:type="gramEnd"/>
      <w:r w:rsidRPr="0075241F">
        <w:rPr>
          <w:rFonts w:ascii="Calibri" w:hAnsi="Calibri" w:cs="Calibri"/>
          <w:lang w:val="en-US"/>
        </w:rPr>
        <w:t xml:space="preserve"> % a pro </w:t>
      </w:r>
      <w:r w:rsidR="001F51F8" w:rsidRPr="0075241F">
        <w:rPr>
          <w:rFonts w:ascii="Calibri" w:hAnsi="Calibri" w:cs="Calibri"/>
          <w:lang w:val="en-US"/>
        </w:rPr>
        <w:t>h</w:t>
      </w:r>
      <w:r w:rsidRPr="0075241F">
        <w:rPr>
          <w:rFonts w:ascii="Calibri" w:hAnsi="Calibri" w:cs="Calibri"/>
          <w:lang w:val="en-US"/>
        </w:rPr>
        <w:t xml:space="preserve">igh </w:t>
      </w:r>
      <w:r w:rsidR="001F51F8" w:rsidRPr="0075241F">
        <w:rPr>
          <w:rFonts w:ascii="Calibri" w:hAnsi="Calibri" w:cs="Calibri"/>
          <w:lang w:val="en-US"/>
        </w:rPr>
        <w:t>s</w:t>
      </w:r>
      <w:r w:rsidRPr="0075241F">
        <w:rPr>
          <w:rFonts w:ascii="Calibri" w:hAnsi="Calibri" w:cs="Calibri"/>
          <w:lang w:val="en-US"/>
        </w:rPr>
        <w:t xml:space="preserve">treet 3,5 %. Prime yields v </w:t>
      </w:r>
      <w:r w:rsidRPr="0075241F">
        <w:rPr>
          <w:rFonts w:ascii="Calibri" w:hAnsi="Calibri" w:cs="Calibri"/>
        </w:rPr>
        <w:t xml:space="preserve">průmyslovém sektoru klesnou </w:t>
      </w:r>
      <w:proofErr w:type="gramStart"/>
      <w:r w:rsidRPr="0075241F">
        <w:rPr>
          <w:rFonts w:ascii="Calibri" w:hAnsi="Calibri" w:cs="Calibri"/>
        </w:rPr>
        <w:t>na</w:t>
      </w:r>
      <w:proofErr w:type="gramEnd"/>
      <w:r w:rsidRPr="0075241F">
        <w:rPr>
          <w:rFonts w:ascii="Calibri" w:hAnsi="Calibri" w:cs="Calibri"/>
        </w:rPr>
        <w:t xml:space="preserve"> 5 % a v maloobchodním mírně vzrostou na 5 %.</w:t>
      </w:r>
    </w:p>
    <w:p w14:paraId="6D62BF86" w14:textId="77777777" w:rsidR="00553143" w:rsidRPr="0075241F" w:rsidRDefault="00553143">
      <w:pPr>
        <w:jc w:val="both"/>
        <w:rPr>
          <w:rFonts w:ascii="Calibri" w:eastAsia="Calibri" w:hAnsi="Calibri" w:cs="Calibri"/>
        </w:rPr>
      </w:pPr>
    </w:p>
    <w:p w14:paraId="005A641B" w14:textId="463B4A88" w:rsidR="00553143" w:rsidRPr="0075241F" w:rsidRDefault="004B6E7D">
      <w:pPr>
        <w:jc w:val="both"/>
        <w:rPr>
          <w:rFonts w:ascii="Calibri" w:eastAsia="Helvetica" w:hAnsi="Calibri" w:cs="Calibri"/>
          <w:i/>
          <w:iCs/>
        </w:rPr>
      </w:pPr>
      <w:r w:rsidRPr="0075241F">
        <w:rPr>
          <w:rFonts w:ascii="Calibri" w:hAnsi="Calibri" w:cs="Calibri"/>
          <w:b/>
          <w:bCs/>
        </w:rPr>
        <w:t xml:space="preserve">Vítězslav </w:t>
      </w:r>
      <w:proofErr w:type="spellStart"/>
      <w:r w:rsidRPr="0075241F">
        <w:rPr>
          <w:rFonts w:ascii="Calibri" w:hAnsi="Calibri" w:cs="Calibri"/>
          <w:b/>
          <w:bCs/>
        </w:rPr>
        <w:t>Dolež</w:t>
      </w:r>
      <w:proofErr w:type="spellEnd"/>
      <w:r w:rsidRPr="0075241F">
        <w:rPr>
          <w:rFonts w:ascii="Calibri" w:hAnsi="Calibri" w:cs="Calibri"/>
          <w:b/>
          <w:bCs/>
          <w:lang w:val="en-US"/>
        </w:rPr>
        <w:t xml:space="preserve">al, Associate Director Investment Properties </w:t>
      </w:r>
      <w:proofErr w:type="spellStart"/>
      <w:r w:rsidRPr="0075241F">
        <w:rPr>
          <w:rFonts w:ascii="Calibri" w:hAnsi="Calibri" w:cs="Calibri"/>
          <w:b/>
          <w:bCs/>
          <w:lang w:val="en-US"/>
        </w:rPr>
        <w:t>spole</w:t>
      </w:r>
      <w:r w:rsidRPr="0075241F">
        <w:rPr>
          <w:rFonts w:ascii="Calibri" w:hAnsi="Calibri" w:cs="Calibri"/>
          <w:b/>
          <w:bCs/>
        </w:rPr>
        <w:t>čnosti</w:t>
      </w:r>
      <w:proofErr w:type="spellEnd"/>
      <w:r w:rsidRPr="0075241F">
        <w:rPr>
          <w:rFonts w:ascii="Calibri" w:hAnsi="Calibri" w:cs="Calibri"/>
          <w:b/>
          <w:bCs/>
        </w:rPr>
        <w:t xml:space="preserve"> CBRE</w:t>
      </w:r>
      <w:r w:rsidRPr="0075241F">
        <w:rPr>
          <w:rFonts w:ascii="Calibri" w:hAnsi="Calibri" w:cs="Calibri"/>
        </w:rPr>
        <w:t>, dále doplňuje:</w:t>
      </w:r>
      <w:r w:rsidR="00912576">
        <w:rPr>
          <w:rFonts w:ascii="Calibri" w:hAnsi="Calibri" w:cs="Calibri" w:hint="cs"/>
          <w:i/>
          <w:iCs/>
          <w:rtl/>
          <w:lang w:val="ar-SA"/>
        </w:rPr>
        <w:t xml:space="preserve"> </w:t>
      </w:r>
      <w:r w:rsidR="00DD0049">
        <w:rPr>
          <w:rFonts w:ascii="Calibri" w:hAnsi="Calibri" w:cs="Calibri"/>
          <w:i/>
          <w:iCs/>
        </w:rPr>
        <w:t>„</w:t>
      </w:r>
      <w:r w:rsidR="00DD0049" w:rsidRPr="00DD0049">
        <w:rPr>
          <w:rFonts w:ascii="Calibri" w:hAnsi="Calibri" w:cs="Calibri"/>
          <w:i/>
          <w:iCs/>
        </w:rPr>
        <w:t>Centrální banky jsou i v příštím roce připraveny pumpovat peníze do finančních trhů a ekonomik. Kromě příznivých podmínek financování dluhu, získávají fondy neustále silný příliv prostředků. Proto ceny kancelářských a logistických budov v roce 2019 vzrostly přibližně o 10 % a neočekáváme, že by tyto segmenty byly příští rok levnější.“</w:t>
      </w:r>
    </w:p>
    <w:p w14:paraId="26BF0CFE" w14:textId="77777777" w:rsidR="00553143" w:rsidRPr="0075241F" w:rsidRDefault="00553143">
      <w:pPr>
        <w:jc w:val="both"/>
        <w:rPr>
          <w:rFonts w:ascii="Calibri" w:eastAsia="Calibri" w:hAnsi="Calibri" w:cs="Calibri"/>
        </w:rPr>
      </w:pPr>
    </w:p>
    <w:p w14:paraId="0A62340F" w14:textId="002FD70D" w:rsidR="00553143" w:rsidRDefault="004B6E7D">
      <w:pPr>
        <w:jc w:val="both"/>
        <w:rPr>
          <w:rFonts w:ascii="Calibri" w:hAnsi="Calibri" w:cs="Calibri"/>
        </w:rPr>
      </w:pPr>
      <w:r w:rsidRPr="0075241F">
        <w:rPr>
          <w:rFonts w:ascii="Calibri" w:hAnsi="Calibri" w:cs="Calibri"/>
        </w:rPr>
        <w:t xml:space="preserve">CBRE </w:t>
      </w:r>
      <w:r w:rsidR="0082300F">
        <w:rPr>
          <w:rFonts w:ascii="Calibri" w:hAnsi="Calibri" w:cs="Calibri"/>
        </w:rPr>
        <w:t>očekává</w:t>
      </w:r>
      <w:r w:rsidRPr="0075241F">
        <w:rPr>
          <w:rFonts w:ascii="Calibri" w:hAnsi="Calibri" w:cs="Calibri"/>
        </w:rPr>
        <w:t xml:space="preserve"> celkový objem investic</w:t>
      </w:r>
      <w:r w:rsidR="00DB5427">
        <w:rPr>
          <w:rFonts w:ascii="Calibri" w:hAnsi="Calibri" w:cs="Calibri"/>
        </w:rPr>
        <w:t xml:space="preserve"> do </w:t>
      </w:r>
      <w:r w:rsidR="009C61D7">
        <w:rPr>
          <w:rFonts w:ascii="Calibri" w:hAnsi="Calibri" w:cs="Calibri"/>
        </w:rPr>
        <w:t>komerčních realit zahrnující kancelářský, průmyslový, maloobchodní a smíšený sektor</w:t>
      </w:r>
      <w:r w:rsidRPr="0075241F">
        <w:rPr>
          <w:rFonts w:ascii="Calibri" w:hAnsi="Calibri" w:cs="Calibri"/>
        </w:rPr>
        <w:t xml:space="preserve"> v roce 2019 ve výši</w:t>
      </w:r>
      <w:r w:rsidRPr="0075241F">
        <w:rPr>
          <w:rFonts w:ascii="Calibri" w:hAnsi="Calibri" w:cs="Calibri"/>
          <w:lang w:val="it-IT"/>
        </w:rPr>
        <w:t xml:space="preserve"> </w:t>
      </w:r>
      <w:r w:rsidR="00B6454F">
        <w:rPr>
          <w:rFonts w:ascii="Calibri" w:hAnsi="Calibri" w:cs="Calibri"/>
          <w:lang w:val="it-IT"/>
        </w:rPr>
        <w:t>3</w:t>
      </w:r>
      <w:r w:rsidRPr="0075241F">
        <w:rPr>
          <w:rFonts w:ascii="Calibri" w:hAnsi="Calibri" w:cs="Calibri"/>
          <w:lang w:val="it-IT"/>
        </w:rPr>
        <w:t xml:space="preserve"> miliard</w:t>
      </w:r>
      <w:r w:rsidRPr="0075241F">
        <w:rPr>
          <w:rFonts w:ascii="Calibri" w:hAnsi="Calibri" w:cs="Calibri"/>
        </w:rPr>
        <w:t xml:space="preserve"> eur, </w:t>
      </w:r>
      <w:r w:rsidR="009C61D7">
        <w:rPr>
          <w:rFonts w:ascii="Calibri" w:hAnsi="Calibri" w:cs="Calibri"/>
        </w:rPr>
        <w:t xml:space="preserve">což činí cca </w:t>
      </w:r>
      <w:r w:rsidRPr="0075241F">
        <w:rPr>
          <w:rFonts w:ascii="Calibri" w:hAnsi="Calibri" w:cs="Calibri"/>
        </w:rPr>
        <w:t>šedesát</w:t>
      </w:r>
      <w:r w:rsidR="00B6454F">
        <w:rPr>
          <w:rFonts w:ascii="Calibri" w:hAnsi="Calibri" w:cs="Calibri"/>
        </w:rPr>
        <w:t xml:space="preserve"> pět</w:t>
      </w:r>
      <w:r w:rsidRPr="0075241F">
        <w:rPr>
          <w:rFonts w:ascii="Calibri" w:hAnsi="Calibri" w:cs="Calibri"/>
        </w:rPr>
        <w:t xml:space="preserve"> uzavřených transakcí. V roce 2019 </w:t>
      </w:r>
      <w:r w:rsidR="00B224D7">
        <w:rPr>
          <w:rFonts w:ascii="Calibri" w:hAnsi="Calibri" w:cs="Calibri"/>
        </w:rPr>
        <w:t xml:space="preserve">se </w:t>
      </w:r>
      <w:r w:rsidRPr="0075241F">
        <w:rPr>
          <w:rFonts w:ascii="Calibri" w:hAnsi="Calibri" w:cs="Calibri"/>
        </w:rPr>
        <w:t xml:space="preserve">v </w:t>
      </w:r>
      <w:proofErr w:type="spellStart"/>
      <w:r w:rsidRPr="0075241F">
        <w:rPr>
          <w:rFonts w:ascii="Calibri" w:hAnsi="Calibri" w:cs="Calibri"/>
        </w:rPr>
        <w:t>kancelářsk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 xml:space="preserve">m sektoru </w:t>
      </w:r>
      <w:r w:rsidR="00B224D7">
        <w:rPr>
          <w:rFonts w:ascii="Calibri" w:hAnsi="Calibri" w:cs="Calibri"/>
        </w:rPr>
        <w:t>očekávají</w:t>
      </w:r>
      <w:r w:rsidRPr="0075241F">
        <w:rPr>
          <w:rFonts w:ascii="Calibri" w:hAnsi="Calibri" w:cs="Calibri"/>
        </w:rPr>
        <w:t xml:space="preserve"> transakce v</w:t>
      </w:r>
      <w:r w:rsidR="0075241F">
        <w:rPr>
          <w:rFonts w:ascii="Calibri" w:hAnsi="Calibri" w:cs="Calibri"/>
        </w:rPr>
        <w:t> </w:t>
      </w:r>
      <w:proofErr w:type="spellStart"/>
      <w:r w:rsidRPr="0075241F">
        <w:rPr>
          <w:rFonts w:ascii="Calibri" w:hAnsi="Calibri" w:cs="Calibri"/>
        </w:rPr>
        <w:t>celkov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 xml:space="preserve">m objemu zhruba 1,2 miliardy eur, což je 40 % z </w:t>
      </w:r>
      <w:proofErr w:type="spellStart"/>
      <w:r w:rsidRPr="0075241F">
        <w:rPr>
          <w:rFonts w:ascii="Calibri" w:hAnsi="Calibri" w:cs="Calibri"/>
        </w:rPr>
        <w:t>celkov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>ho objemu.</w:t>
      </w:r>
      <w:r w:rsidR="00B6454F">
        <w:rPr>
          <w:rFonts w:ascii="Calibri" w:hAnsi="Calibri" w:cs="Calibri"/>
        </w:rPr>
        <w:t xml:space="preserve"> Následuje hotelový </w:t>
      </w:r>
      <w:r w:rsidRPr="0075241F">
        <w:rPr>
          <w:rFonts w:ascii="Calibri" w:hAnsi="Calibri" w:cs="Calibri"/>
        </w:rPr>
        <w:t>sektor</w:t>
      </w:r>
      <w:r w:rsidR="00B6454F">
        <w:rPr>
          <w:rFonts w:ascii="Calibri" w:hAnsi="Calibri" w:cs="Calibri"/>
        </w:rPr>
        <w:t xml:space="preserve"> </w:t>
      </w:r>
      <w:r w:rsidRPr="0075241F">
        <w:rPr>
          <w:rFonts w:ascii="Calibri" w:hAnsi="Calibri" w:cs="Calibri"/>
        </w:rPr>
        <w:t>s 2</w:t>
      </w:r>
      <w:r w:rsidR="00B224D7">
        <w:rPr>
          <w:rFonts w:ascii="Calibri" w:hAnsi="Calibri" w:cs="Calibri"/>
        </w:rPr>
        <w:t>0</w:t>
      </w:r>
      <w:r w:rsidRPr="0075241F">
        <w:rPr>
          <w:rFonts w:ascii="Calibri" w:hAnsi="Calibri" w:cs="Calibri"/>
        </w:rPr>
        <w:t xml:space="preserve"> %</w:t>
      </w:r>
      <w:r w:rsidR="00B6454F">
        <w:rPr>
          <w:rFonts w:ascii="Calibri" w:hAnsi="Calibri" w:cs="Calibri"/>
        </w:rPr>
        <w:t>, který zaznamenal</w:t>
      </w:r>
      <w:r w:rsidRPr="0075241F">
        <w:rPr>
          <w:rFonts w:ascii="Calibri" w:hAnsi="Calibri" w:cs="Calibri"/>
        </w:rPr>
        <w:t> </w:t>
      </w:r>
      <w:r w:rsidR="000A37B0">
        <w:rPr>
          <w:rFonts w:ascii="Calibri" w:hAnsi="Calibri" w:cs="Calibri"/>
        </w:rPr>
        <w:t xml:space="preserve">v letošním roce </w:t>
      </w:r>
      <w:r w:rsidRPr="0075241F">
        <w:rPr>
          <w:rFonts w:ascii="Calibri" w:hAnsi="Calibri" w:cs="Calibri"/>
        </w:rPr>
        <w:t>výrazný nárůst</w:t>
      </w:r>
      <w:r w:rsidR="00B6454F">
        <w:rPr>
          <w:rFonts w:ascii="Calibri" w:hAnsi="Calibri" w:cs="Calibri"/>
        </w:rPr>
        <w:t xml:space="preserve">. </w:t>
      </w:r>
      <w:r w:rsidR="00B224D7">
        <w:rPr>
          <w:rFonts w:ascii="Calibri" w:hAnsi="Calibri" w:cs="Calibri"/>
        </w:rPr>
        <w:t>V m</w:t>
      </w:r>
      <w:r w:rsidR="00B6454F">
        <w:rPr>
          <w:rFonts w:ascii="Calibri" w:hAnsi="Calibri" w:cs="Calibri"/>
        </w:rPr>
        <w:t>aloobchod</w:t>
      </w:r>
      <w:r w:rsidR="00B224D7">
        <w:rPr>
          <w:rFonts w:ascii="Calibri" w:hAnsi="Calibri" w:cs="Calibri"/>
        </w:rPr>
        <w:t>u CBRE očekává</w:t>
      </w:r>
      <w:r w:rsidRPr="0075241F">
        <w:rPr>
          <w:rFonts w:ascii="Calibri" w:hAnsi="Calibri" w:cs="Calibri"/>
        </w:rPr>
        <w:t xml:space="preserve"> </w:t>
      </w:r>
      <w:r w:rsidR="00B224D7">
        <w:rPr>
          <w:rFonts w:ascii="Calibri" w:hAnsi="Calibri" w:cs="Calibri"/>
        </w:rPr>
        <w:t>20</w:t>
      </w:r>
      <w:r w:rsidRPr="0075241F">
        <w:rPr>
          <w:rFonts w:ascii="Calibri" w:hAnsi="Calibri" w:cs="Calibri"/>
        </w:rPr>
        <w:t>% podíl na</w:t>
      </w:r>
      <w:r w:rsidR="005A4F6A">
        <w:rPr>
          <w:rFonts w:ascii="Calibri" w:hAnsi="Calibri" w:cs="Calibri"/>
        </w:rPr>
        <w:t> </w:t>
      </w:r>
      <w:r w:rsidRPr="0075241F">
        <w:rPr>
          <w:rFonts w:ascii="Calibri" w:hAnsi="Calibri" w:cs="Calibri"/>
        </w:rPr>
        <w:t>celkový</w:t>
      </w:r>
      <w:proofErr w:type="spellStart"/>
      <w:r w:rsidRPr="0075241F">
        <w:rPr>
          <w:rFonts w:ascii="Calibri" w:hAnsi="Calibri" w:cs="Calibri"/>
          <w:lang w:val="en-US"/>
        </w:rPr>
        <w:t>ch</w:t>
      </w:r>
      <w:proofErr w:type="spellEnd"/>
      <w:r w:rsidRPr="0075241F">
        <w:rPr>
          <w:rFonts w:ascii="Calibri" w:hAnsi="Calibri" w:cs="Calibri"/>
          <w:lang w:val="en-US"/>
        </w:rPr>
        <w:t xml:space="preserve"> </w:t>
      </w:r>
      <w:proofErr w:type="spellStart"/>
      <w:r w:rsidRPr="0075241F">
        <w:rPr>
          <w:rFonts w:ascii="Calibri" w:hAnsi="Calibri" w:cs="Calibri"/>
          <w:lang w:val="en-US"/>
        </w:rPr>
        <w:t>investic</w:t>
      </w:r>
      <w:r w:rsidRPr="0075241F">
        <w:rPr>
          <w:rFonts w:ascii="Calibri" w:hAnsi="Calibri" w:cs="Calibri"/>
        </w:rPr>
        <w:t>ích</w:t>
      </w:r>
      <w:proofErr w:type="spellEnd"/>
      <w:r w:rsidR="00B6454F">
        <w:rPr>
          <w:rFonts w:ascii="Calibri" w:hAnsi="Calibri" w:cs="Calibri"/>
        </w:rPr>
        <w:t xml:space="preserve"> a</w:t>
      </w:r>
      <w:r w:rsidRPr="0075241F">
        <w:rPr>
          <w:rFonts w:ascii="Calibri" w:hAnsi="Calibri" w:cs="Calibri"/>
        </w:rPr>
        <w:t xml:space="preserve"> </w:t>
      </w:r>
      <w:proofErr w:type="spellStart"/>
      <w:r w:rsidR="00B6454F">
        <w:rPr>
          <w:rFonts w:ascii="Calibri" w:hAnsi="Calibri" w:cs="Calibri"/>
        </w:rPr>
        <w:t>i</w:t>
      </w:r>
      <w:r w:rsidRPr="0075241F">
        <w:rPr>
          <w:rFonts w:ascii="Calibri" w:hAnsi="Calibri" w:cs="Calibri"/>
        </w:rPr>
        <w:t>ndustri</w:t>
      </w:r>
      <w:r w:rsidR="00B6454F">
        <w:rPr>
          <w:rFonts w:ascii="Calibri" w:hAnsi="Calibri" w:cs="Calibri"/>
        </w:rPr>
        <w:t>á</w:t>
      </w:r>
      <w:r w:rsidRPr="0075241F">
        <w:rPr>
          <w:rFonts w:ascii="Calibri" w:hAnsi="Calibri" w:cs="Calibri"/>
        </w:rPr>
        <w:t>l</w:t>
      </w:r>
      <w:proofErr w:type="spellEnd"/>
      <w:r w:rsidRPr="0075241F">
        <w:rPr>
          <w:rFonts w:ascii="Calibri" w:hAnsi="Calibri" w:cs="Calibri"/>
        </w:rPr>
        <w:t xml:space="preserve"> </w:t>
      </w:r>
      <w:r w:rsidR="00B6454F">
        <w:rPr>
          <w:rFonts w:ascii="Calibri" w:hAnsi="Calibri" w:cs="Calibri"/>
        </w:rPr>
        <w:t>1</w:t>
      </w:r>
      <w:r w:rsidR="00B224D7">
        <w:rPr>
          <w:rFonts w:ascii="Calibri" w:hAnsi="Calibri" w:cs="Calibri"/>
        </w:rPr>
        <w:t>0</w:t>
      </w:r>
      <w:r w:rsidR="00B6454F">
        <w:rPr>
          <w:rFonts w:ascii="Calibri" w:hAnsi="Calibri" w:cs="Calibri"/>
        </w:rPr>
        <w:t xml:space="preserve"> </w:t>
      </w:r>
      <w:r w:rsidRPr="0075241F">
        <w:rPr>
          <w:rFonts w:ascii="Calibri" w:hAnsi="Calibri" w:cs="Calibri"/>
        </w:rPr>
        <w:t>%.</w:t>
      </w:r>
      <w:r w:rsidR="00B6454F">
        <w:rPr>
          <w:rFonts w:ascii="Calibri" w:hAnsi="Calibri" w:cs="Calibri"/>
        </w:rPr>
        <w:t xml:space="preserve"> </w:t>
      </w:r>
    </w:p>
    <w:p w14:paraId="336BB29D" w14:textId="45B0130B" w:rsidR="00B224D7" w:rsidRDefault="00B224D7">
      <w:pPr>
        <w:jc w:val="both"/>
        <w:rPr>
          <w:rFonts w:ascii="Calibri" w:hAnsi="Calibri" w:cs="Calibri"/>
        </w:rPr>
      </w:pPr>
    </w:p>
    <w:p w14:paraId="0ED756F4" w14:textId="5F8D7A0C" w:rsidR="00B224D7" w:rsidRDefault="000559FC" w:rsidP="00B224D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„</w:t>
      </w:r>
      <w:r w:rsidR="00B224D7" w:rsidRPr="000559FC">
        <w:rPr>
          <w:rFonts w:ascii="Calibri" w:eastAsia="Calibri" w:hAnsi="Calibri" w:cs="Calibri"/>
          <w:i/>
          <w:iCs/>
        </w:rPr>
        <w:t>Objem investic v retailovém sektoru mírně utrpěl kvůli poklesu poptávky zahraničních investorů. Jde totiž o součást širšího trendu, který odráží problémy v maloobchodním sektoru v USA, Velké Británi</w:t>
      </w:r>
      <w:r w:rsidR="003677EE" w:rsidRPr="000559FC">
        <w:rPr>
          <w:rFonts w:ascii="Calibri" w:eastAsia="Calibri" w:hAnsi="Calibri" w:cs="Calibri"/>
          <w:i/>
          <w:iCs/>
        </w:rPr>
        <w:t>e</w:t>
      </w:r>
      <w:r w:rsidR="00B224D7" w:rsidRPr="000559FC">
        <w:rPr>
          <w:rFonts w:ascii="Calibri" w:eastAsia="Calibri" w:hAnsi="Calibri" w:cs="Calibri"/>
          <w:i/>
          <w:iCs/>
        </w:rPr>
        <w:t xml:space="preserve"> a dalších západoevropských zemích. Maloobchodní trh v</w:t>
      </w:r>
      <w:r w:rsidR="00825C54">
        <w:rPr>
          <w:rFonts w:ascii="Calibri" w:eastAsia="Calibri" w:hAnsi="Calibri" w:cs="Calibri"/>
          <w:i/>
          <w:iCs/>
        </w:rPr>
        <w:t> České republice</w:t>
      </w:r>
      <w:r w:rsidR="00B224D7" w:rsidRPr="000559FC">
        <w:rPr>
          <w:rFonts w:ascii="Calibri" w:eastAsia="Calibri" w:hAnsi="Calibri" w:cs="Calibri"/>
          <w:i/>
          <w:iCs/>
        </w:rPr>
        <w:t xml:space="preserve"> je však velmi zdravý a silný. Obraty v nákupních centrech za posledních pět let vzrostly přibližně o 35</w:t>
      </w:r>
      <w:r w:rsidR="003677EE" w:rsidRPr="000559FC">
        <w:rPr>
          <w:rFonts w:ascii="Calibri" w:eastAsia="Calibri" w:hAnsi="Calibri" w:cs="Calibri"/>
          <w:i/>
          <w:iCs/>
        </w:rPr>
        <w:t xml:space="preserve"> </w:t>
      </w:r>
      <w:r w:rsidR="00B224D7" w:rsidRPr="000559FC">
        <w:rPr>
          <w:rFonts w:ascii="Calibri" w:eastAsia="Calibri" w:hAnsi="Calibri" w:cs="Calibri"/>
          <w:i/>
          <w:iCs/>
        </w:rPr>
        <w:t>%, což je mimořádně pozitivní výsledek</w:t>
      </w:r>
      <w:r w:rsidR="003677EE" w:rsidRPr="000559FC">
        <w:rPr>
          <w:rFonts w:ascii="Calibri" w:eastAsia="Calibri" w:hAnsi="Calibri" w:cs="Calibri"/>
          <w:i/>
          <w:iCs/>
        </w:rPr>
        <w:t>,</w:t>
      </w:r>
      <w:r w:rsidR="00B224D7" w:rsidRPr="000559FC">
        <w:rPr>
          <w:rFonts w:ascii="Calibri" w:eastAsia="Calibri" w:hAnsi="Calibri" w:cs="Calibri"/>
          <w:i/>
          <w:iCs/>
        </w:rPr>
        <w:t xml:space="preserve"> a</w:t>
      </w:r>
      <w:r w:rsidR="003677EE" w:rsidRPr="000559FC">
        <w:rPr>
          <w:rFonts w:ascii="Calibri" w:eastAsia="Calibri" w:hAnsi="Calibri" w:cs="Calibri"/>
          <w:i/>
          <w:iCs/>
        </w:rPr>
        <w:t xml:space="preserve"> proto</w:t>
      </w:r>
      <w:r w:rsidR="00B224D7" w:rsidRPr="000559FC">
        <w:rPr>
          <w:rFonts w:ascii="Calibri" w:eastAsia="Calibri" w:hAnsi="Calibri" w:cs="Calibri"/>
          <w:i/>
          <w:iCs/>
        </w:rPr>
        <w:t xml:space="preserve"> nadále doporučujeme invest</w:t>
      </w:r>
      <w:r w:rsidR="003677EE" w:rsidRPr="000559FC">
        <w:rPr>
          <w:rFonts w:ascii="Calibri" w:eastAsia="Calibri" w:hAnsi="Calibri" w:cs="Calibri"/>
          <w:i/>
          <w:iCs/>
        </w:rPr>
        <w:t>ovat do maloobchodních nemovitostí</w:t>
      </w:r>
      <w:r w:rsidR="00B224D7" w:rsidRPr="000559FC">
        <w:rPr>
          <w:rFonts w:ascii="Calibri" w:eastAsia="Calibri" w:hAnsi="Calibri" w:cs="Calibri"/>
          <w:i/>
          <w:iCs/>
        </w:rPr>
        <w:t>,“</w:t>
      </w:r>
      <w:r>
        <w:rPr>
          <w:rFonts w:ascii="Calibri" w:eastAsia="Calibri" w:hAnsi="Calibri" w:cs="Calibri"/>
        </w:rPr>
        <w:t xml:space="preserve"> </w:t>
      </w:r>
      <w:r w:rsidR="00B224D7" w:rsidRPr="00B224D7">
        <w:rPr>
          <w:rFonts w:ascii="Calibri" w:eastAsia="Calibri" w:hAnsi="Calibri" w:cs="Calibri"/>
        </w:rPr>
        <w:t xml:space="preserve">říká </w:t>
      </w:r>
      <w:r w:rsidR="00B224D7" w:rsidRPr="000559FC">
        <w:rPr>
          <w:rFonts w:ascii="Calibri" w:eastAsia="Calibri" w:hAnsi="Calibri" w:cs="Calibri"/>
          <w:b/>
          <w:bCs/>
        </w:rPr>
        <w:t xml:space="preserve">Katarína </w:t>
      </w:r>
      <w:proofErr w:type="spellStart"/>
      <w:r w:rsidR="00B224D7" w:rsidRPr="000559FC">
        <w:rPr>
          <w:rFonts w:ascii="Calibri" w:eastAsia="Calibri" w:hAnsi="Calibri" w:cs="Calibri"/>
          <w:b/>
          <w:bCs/>
        </w:rPr>
        <w:t>Brydone</w:t>
      </w:r>
      <w:proofErr w:type="spellEnd"/>
      <w:r w:rsidR="00B224D7" w:rsidRPr="000559FC">
        <w:rPr>
          <w:rFonts w:ascii="Calibri" w:eastAsia="Calibri" w:hAnsi="Calibri" w:cs="Calibri"/>
          <w:b/>
          <w:bCs/>
        </w:rPr>
        <w:t xml:space="preserve">, </w:t>
      </w:r>
      <w:proofErr w:type="spellStart"/>
      <w:r w:rsidRPr="000559FC">
        <w:rPr>
          <w:rFonts w:ascii="Calibri" w:eastAsia="Calibri" w:hAnsi="Calibri" w:cs="Calibri"/>
          <w:b/>
          <w:bCs/>
        </w:rPr>
        <w:t>Head</w:t>
      </w:r>
      <w:proofErr w:type="spellEnd"/>
      <w:r w:rsidRPr="000559F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0559FC">
        <w:rPr>
          <w:rFonts w:ascii="Calibri" w:eastAsia="Calibri" w:hAnsi="Calibri" w:cs="Calibri"/>
          <w:b/>
          <w:bCs/>
        </w:rPr>
        <w:t>of</w:t>
      </w:r>
      <w:proofErr w:type="spellEnd"/>
      <w:r w:rsidRPr="000559FC">
        <w:rPr>
          <w:rFonts w:ascii="Calibri" w:eastAsia="Calibri" w:hAnsi="Calibri" w:cs="Calibri"/>
          <w:b/>
          <w:bCs/>
        </w:rPr>
        <w:t xml:space="preserve"> Retail společnosti</w:t>
      </w:r>
      <w:r w:rsidR="00B224D7" w:rsidRPr="000559FC">
        <w:rPr>
          <w:rFonts w:ascii="Calibri" w:eastAsia="Calibri" w:hAnsi="Calibri" w:cs="Calibri"/>
          <w:b/>
          <w:bCs/>
        </w:rPr>
        <w:t xml:space="preserve"> CBRE</w:t>
      </w:r>
      <w:r w:rsidR="00B224D7" w:rsidRPr="00B224D7">
        <w:rPr>
          <w:rFonts w:ascii="Calibri" w:eastAsia="Calibri" w:hAnsi="Calibri" w:cs="Calibri"/>
        </w:rPr>
        <w:t>.</w:t>
      </w:r>
    </w:p>
    <w:p w14:paraId="518FFECB" w14:textId="00297E72" w:rsidR="00B540BD" w:rsidRDefault="00B540BD" w:rsidP="00B224D7">
      <w:pPr>
        <w:jc w:val="both"/>
        <w:rPr>
          <w:rFonts w:ascii="Calibri" w:eastAsia="Calibri" w:hAnsi="Calibri" w:cs="Calibri"/>
        </w:rPr>
      </w:pPr>
    </w:p>
    <w:p w14:paraId="52E47DCE" w14:textId="55F07FB7" w:rsidR="00B540BD" w:rsidRPr="005A4F6A" w:rsidRDefault="005A4F6A" w:rsidP="00B224D7">
      <w:pPr>
        <w:jc w:val="both"/>
        <w:rPr>
          <w:rFonts w:ascii="Calibri" w:eastAsia="Calibri" w:hAnsi="Calibri" w:cs="Calibri"/>
          <w:i/>
          <w:iCs/>
        </w:rPr>
      </w:pPr>
      <w:r w:rsidRPr="005A4F6A">
        <w:rPr>
          <w:rFonts w:ascii="Calibri" w:eastAsia="Calibri" w:hAnsi="Calibri" w:cs="Calibri"/>
          <w:b/>
          <w:bCs/>
        </w:rPr>
        <w:lastRenderedPageBreak/>
        <w:t xml:space="preserve">Jakub Stanislav, </w:t>
      </w:r>
      <w:proofErr w:type="spellStart"/>
      <w:r w:rsidRPr="005A4F6A">
        <w:rPr>
          <w:rFonts w:ascii="Calibri" w:eastAsia="Calibri" w:hAnsi="Calibri" w:cs="Calibri"/>
          <w:b/>
          <w:bCs/>
        </w:rPr>
        <w:t>Investment</w:t>
      </w:r>
      <w:proofErr w:type="spellEnd"/>
      <w:r w:rsidRPr="005A4F6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A4F6A">
        <w:rPr>
          <w:rFonts w:ascii="Calibri" w:eastAsia="Calibri" w:hAnsi="Calibri" w:cs="Calibri"/>
          <w:b/>
          <w:bCs/>
        </w:rPr>
        <w:t>Properties</w:t>
      </w:r>
      <w:proofErr w:type="spellEnd"/>
      <w:r w:rsidRPr="005A4F6A">
        <w:rPr>
          <w:rFonts w:ascii="Calibri" w:eastAsia="Calibri" w:hAnsi="Calibri" w:cs="Calibri"/>
          <w:b/>
          <w:bCs/>
        </w:rPr>
        <w:t xml:space="preserve"> &amp; CEE </w:t>
      </w:r>
      <w:proofErr w:type="spellStart"/>
      <w:r w:rsidRPr="005A4F6A">
        <w:rPr>
          <w:rFonts w:ascii="Calibri" w:eastAsia="Calibri" w:hAnsi="Calibri" w:cs="Calibri"/>
          <w:b/>
          <w:bCs/>
        </w:rPr>
        <w:t>Hotels</w:t>
      </w:r>
      <w:proofErr w:type="spellEnd"/>
      <w:r w:rsidRPr="005A4F6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5A4F6A">
        <w:rPr>
          <w:rFonts w:ascii="Calibri" w:eastAsia="Calibri" w:hAnsi="Calibri" w:cs="Calibri"/>
          <w:b/>
          <w:bCs/>
        </w:rPr>
        <w:t>Director</w:t>
      </w:r>
      <w:proofErr w:type="spellEnd"/>
      <w:r w:rsidRPr="005A4F6A">
        <w:rPr>
          <w:rFonts w:ascii="Calibri" w:eastAsia="Calibri" w:hAnsi="Calibri" w:cs="Calibri"/>
          <w:b/>
          <w:bCs/>
        </w:rPr>
        <w:t xml:space="preserve">, </w:t>
      </w:r>
      <w:r w:rsidRPr="005A4F6A">
        <w:rPr>
          <w:rFonts w:ascii="Calibri" w:eastAsia="Calibri" w:hAnsi="Calibri" w:cs="Calibri"/>
        </w:rPr>
        <w:t>dodává</w:t>
      </w:r>
      <w:r w:rsidRPr="005A4F6A">
        <w:rPr>
          <w:rFonts w:ascii="Calibri" w:eastAsia="Calibri" w:hAnsi="Calibri" w:cs="Calibri"/>
          <w:b/>
          <w:bCs/>
        </w:rPr>
        <w:t xml:space="preserve">: </w:t>
      </w:r>
      <w:r w:rsidRPr="005A4F6A">
        <w:rPr>
          <w:rFonts w:ascii="Calibri" w:eastAsia="Calibri" w:hAnsi="Calibri" w:cs="Calibri"/>
          <w:i/>
          <w:iCs/>
        </w:rPr>
        <w:t>„Zaznamenáváme silný zájem o alternativní sektory, kterými jsou hotely a rezidenční nemovitosti v regionu východní a</w:t>
      </w:r>
      <w:r w:rsidR="00E87C66">
        <w:rPr>
          <w:rFonts w:ascii="Calibri" w:eastAsia="Calibri" w:hAnsi="Calibri" w:cs="Calibri"/>
          <w:i/>
          <w:iCs/>
        </w:rPr>
        <w:t> </w:t>
      </w:r>
      <w:r w:rsidRPr="005A4F6A">
        <w:rPr>
          <w:rFonts w:ascii="Calibri" w:eastAsia="Calibri" w:hAnsi="Calibri" w:cs="Calibri"/>
          <w:i/>
          <w:iCs/>
        </w:rPr>
        <w:t>střední Evropy. Jedná se jak o dlouhodobě pronajaté hotelové produkty, ale také o nemovitosti s</w:t>
      </w:r>
      <w:r w:rsidR="00E87C66">
        <w:rPr>
          <w:rFonts w:ascii="Calibri" w:eastAsia="Calibri" w:hAnsi="Calibri" w:cs="Calibri"/>
          <w:i/>
          <w:iCs/>
        </w:rPr>
        <w:t> </w:t>
      </w:r>
      <w:r w:rsidRPr="005A4F6A">
        <w:rPr>
          <w:rFonts w:ascii="Calibri" w:eastAsia="Calibri" w:hAnsi="Calibri" w:cs="Calibri"/>
          <w:i/>
          <w:iCs/>
        </w:rPr>
        <w:t>potenciálem technických a komerčních změn a dalšího investičního růstu. Za období posledních deseti let jsme v rezidenčním sektoru po celé Evropě zaznamenali trojnásobný objem transakcí a</w:t>
      </w:r>
      <w:r w:rsidR="00E87C66">
        <w:rPr>
          <w:rFonts w:ascii="Calibri" w:eastAsia="Calibri" w:hAnsi="Calibri" w:cs="Calibri"/>
          <w:i/>
          <w:iCs/>
        </w:rPr>
        <w:t> </w:t>
      </w:r>
      <w:r w:rsidRPr="005A4F6A">
        <w:rPr>
          <w:rFonts w:ascii="Calibri" w:eastAsia="Calibri" w:hAnsi="Calibri" w:cs="Calibri"/>
          <w:i/>
          <w:iCs/>
        </w:rPr>
        <w:t>tato poptávka se začíná odrážet i na českém trhu. Očekáváme, že investice do hotelového a</w:t>
      </w:r>
      <w:r w:rsidR="00E87C66">
        <w:rPr>
          <w:rFonts w:ascii="Calibri" w:eastAsia="Calibri" w:hAnsi="Calibri" w:cs="Calibri"/>
          <w:i/>
          <w:iCs/>
        </w:rPr>
        <w:t> </w:t>
      </w:r>
      <w:r w:rsidRPr="005A4F6A">
        <w:rPr>
          <w:rFonts w:ascii="Calibri" w:eastAsia="Calibri" w:hAnsi="Calibri" w:cs="Calibri"/>
          <w:i/>
          <w:iCs/>
        </w:rPr>
        <w:t>rezidenčního sektoru v roce 2020 výrazně porostou.“</w:t>
      </w:r>
    </w:p>
    <w:p w14:paraId="7473E5C2" w14:textId="77777777" w:rsidR="00553143" w:rsidRPr="0075241F" w:rsidRDefault="00553143">
      <w:pPr>
        <w:shd w:val="clear" w:color="auto" w:fill="FFFFFF"/>
        <w:jc w:val="both"/>
        <w:rPr>
          <w:rFonts w:ascii="Calibri" w:eastAsia="Calibri" w:hAnsi="Calibri" w:cs="Calibri"/>
        </w:rPr>
      </w:pPr>
    </w:p>
    <w:p w14:paraId="7AE6B43E" w14:textId="237DFE06" w:rsidR="00553143" w:rsidRPr="0075241F" w:rsidRDefault="004B6E7D">
      <w:pPr>
        <w:shd w:val="clear" w:color="auto" w:fill="FFFFFF"/>
        <w:spacing w:line="276" w:lineRule="auto"/>
        <w:jc w:val="center"/>
        <w:rPr>
          <w:rFonts w:ascii="Calibri" w:eastAsia="Helvetica" w:hAnsi="Calibri" w:cs="Calibri"/>
          <w:b/>
          <w:bCs/>
        </w:rPr>
      </w:pPr>
      <w:r w:rsidRPr="0075241F">
        <w:rPr>
          <w:rFonts w:ascii="Calibri" w:hAnsi="Calibri" w:cs="Calibri"/>
          <w:b/>
          <w:bCs/>
        </w:rPr>
        <w:t>5 největších transakcí v </w:t>
      </w:r>
      <w:proofErr w:type="spellStart"/>
      <w:r w:rsidRPr="0075241F">
        <w:rPr>
          <w:rFonts w:ascii="Calibri" w:hAnsi="Calibri" w:cs="Calibri"/>
          <w:b/>
          <w:bCs/>
        </w:rPr>
        <w:t>Česk</w:t>
      </w:r>
      <w:proofErr w:type="spellEnd"/>
      <w:r w:rsidRPr="0075241F">
        <w:rPr>
          <w:rFonts w:ascii="Calibri" w:hAnsi="Calibri" w:cs="Calibri"/>
          <w:b/>
          <w:bCs/>
          <w:lang w:val="fr-FR"/>
        </w:rPr>
        <w:t>é</w:t>
      </w:r>
      <w:r w:rsidRPr="0075241F">
        <w:rPr>
          <w:rFonts w:ascii="Calibri" w:hAnsi="Calibri" w:cs="Calibri"/>
          <w:b/>
          <w:bCs/>
        </w:rPr>
        <w:t xml:space="preserve"> republice za rok 2019</w:t>
      </w:r>
    </w:p>
    <w:tbl>
      <w:tblPr>
        <w:tblStyle w:val="TableNormal1"/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1875"/>
        <w:gridCol w:w="1788"/>
        <w:gridCol w:w="3991"/>
        <w:gridCol w:w="1843"/>
      </w:tblGrid>
      <w:tr w:rsidR="00553143" w:rsidRPr="0075241F" w14:paraId="71E49076" w14:textId="77777777" w:rsidTr="00A66343">
        <w:trPr>
          <w:trHeight w:val="9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DB9E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Čtvrtletí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133F9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Název nemovitosti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3B0B3" w14:textId="57AB2AA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Cena (milion</w:t>
            </w: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ů </w:t>
            </w:r>
            <w:r w:rsidR="00F248AE">
              <w:rPr>
                <w:rFonts w:ascii="Calibri" w:hAnsi="Calibri" w:cs="Calibri"/>
                <w:b/>
                <w:bCs/>
                <w:sz w:val="22"/>
                <w:szCs w:val="22"/>
              </w:rPr>
              <w:t>eur</w:t>
            </w: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E8351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Kupující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08E6C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56FF3">
              <w:rPr>
                <w:rFonts w:ascii="Calibri" w:hAnsi="Calibri" w:cs="Calibri"/>
                <w:b/>
                <w:bCs/>
                <w:sz w:val="22"/>
                <w:szCs w:val="22"/>
                <w:lang w:val="de-DE"/>
              </w:rPr>
              <w:t>Prod</w:t>
            </w: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ávající</w:t>
            </w:r>
            <w:proofErr w:type="spellEnd"/>
          </w:p>
        </w:tc>
      </w:tr>
      <w:tr w:rsidR="00553143" w:rsidRPr="0075241F" w14:paraId="1B177A5A" w14:textId="77777777" w:rsidTr="00A66343">
        <w:trPr>
          <w:trHeight w:val="24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6E6CA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0D131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it-IT"/>
              </w:rPr>
              <w:t>Waltrovka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5F74E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250-260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D2F26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Hanwha Investment &amp; Securities (GLL)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6870C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Penta</w:t>
            </w:r>
          </w:p>
        </w:tc>
      </w:tr>
      <w:tr w:rsidR="00553143" w:rsidRPr="0075241F" w14:paraId="366F0556" w14:textId="77777777" w:rsidTr="00A66343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DA1DE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7A3F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it-IT"/>
              </w:rPr>
              <w:t>Hotel Intercontinental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9AD77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220-230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0A8BE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da-DK"/>
              </w:rPr>
              <w:t>R2G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633D4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Best Hotel Properties/ J&amp;T</w:t>
            </w:r>
          </w:p>
        </w:tc>
      </w:tr>
      <w:tr w:rsidR="00553143" w:rsidRPr="0075241F" w14:paraId="5108E799" w14:textId="77777777" w:rsidTr="00A66343">
        <w:trPr>
          <w:trHeight w:val="23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C8C5B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17047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56FF3">
              <w:rPr>
                <w:rFonts w:ascii="Calibri" w:hAnsi="Calibri" w:cs="Calibri"/>
                <w:sz w:val="22"/>
                <w:szCs w:val="22"/>
              </w:rPr>
              <w:t>Rustonka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D18E1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160-170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03559" w14:textId="1C11EBCD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Hana Financial Investmen</w:t>
            </w:r>
            <w:r w:rsidR="00D54391" w:rsidRPr="00956FF3">
              <w:rPr>
                <w:rFonts w:ascii="Calibri" w:hAnsi="Calibri" w:cs="Calibri"/>
                <w:sz w:val="22"/>
                <w:szCs w:val="22"/>
                <w:lang w:val="en-US"/>
              </w:rPr>
              <w:t>t (White Star)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B675A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J&amp;T Real Estate</w:t>
            </w:r>
          </w:p>
        </w:tc>
      </w:tr>
      <w:tr w:rsidR="00553143" w:rsidRPr="0075241F" w14:paraId="70ADCFFE" w14:textId="77777777" w:rsidTr="00A66343">
        <w:trPr>
          <w:trHeight w:val="22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9B4D1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AA6C4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Amazon Dobrovíz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C9C2C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140-150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01E33" w14:textId="32475E1A" w:rsidR="00553143" w:rsidRPr="00956FF3" w:rsidRDefault="00D54391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Samsung Securities (</w:t>
            </w:r>
            <w:r w:rsidR="004B6E7D" w:rsidRPr="00956F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Roebuck Asset </w:t>
            </w:r>
            <w:proofErr w:type="spellStart"/>
            <w:r w:rsidR="004B6E7D" w:rsidRPr="00956FF3">
              <w:rPr>
                <w:rFonts w:ascii="Calibri" w:hAnsi="Calibri" w:cs="Calibri"/>
                <w:sz w:val="22"/>
                <w:szCs w:val="22"/>
                <w:lang w:val="en-US"/>
              </w:rPr>
              <w:t>Mgmt</w:t>
            </w:r>
            <w:proofErr w:type="spellEnd"/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358AD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 xml:space="preserve">AEW </w:t>
            </w:r>
            <w:proofErr w:type="spellStart"/>
            <w:r w:rsidRPr="00956FF3">
              <w:rPr>
                <w:rFonts w:ascii="Calibri" w:hAnsi="Calibri" w:cs="Calibri"/>
                <w:sz w:val="22"/>
                <w:szCs w:val="22"/>
              </w:rPr>
              <w:t>Europe</w:t>
            </w:r>
            <w:proofErr w:type="spellEnd"/>
          </w:p>
        </w:tc>
      </w:tr>
      <w:tr w:rsidR="00553143" w:rsidRPr="0075241F" w14:paraId="3F83E27B" w14:textId="77777777" w:rsidTr="00A66343">
        <w:trPr>
          <w:trHeight w:val="3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139BC" w14:textId="77777777" w:rsidR="00553143" w:rsidRPr="00956FF3" w:rsidRDefault="004B6E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0C1E1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Main Point </w:t>
            </w:r>
            <w:proofErr w:type="spellStart"/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Pankr</w:t>
            </w:r>
            <w:r w:rsidRPr="00956FF3">
              <w:rPr>
                <w:rFonts w:ascii="Calibri" w:hAnsi="Calibri" w:cs="Calibri"/>
                <w:sz w:val="22"/>
                <w:szCs w:val="22"/>
              </w:rPr>
              <w:t>ác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AB3C0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130-140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E8C84" w14:textId="65D688A2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Hana Financial investment</w:t>
            </w:r>
            <w:r w:rsidR="00D54391" w:rsidRPr="00956FF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(Mint Investments)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16D88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pt-PT"/>
              </w:rPr>
              <w:t>PSJ Invest</w:t>
            </w:r>
          </w:p>
        </w:tc>
      </w:tr>
    </w:tbl>
    <w:p w14:paraId="26427BA0" w14:textId="77777777" w:rsidR="00B540BD" w:rsidRDefault="00B540B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</w:p>
    <w:p w14:paraId="68221F5B" w14:textId="0403F108" w:rsidR="00553143" w:rsidRPr="0075241F" w:rsidRDefault="004B6E7D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75241F">
        <w:rPr>
          <w:rFonts w:ascii="Calibri" w:hAnsi="Calibri" w:cs="Calibri"/>
        </w:rPr>
        <w:t>Největší objem investic do komerční</w:t>
      </w:r>
      <w:proofErr w:type="spellStart"/>
      <w:r w:rsidRPr="0075241F">
        <w:rPr>
          <w:rFonts w:ascii="Calibri" w:hAnsi="Calibri" w:cs="Calibri"/>
          <w:lang w:val="en-US"/>
        </w:rPr>
        <w:t>ch</w:t>
      </w:r>
      <w:proofErr w:type="spellEnd"/>
      <w:r w:rsidRPr="0075241F">
        <w:rPr>
          <w:rFonts w:ascii="Calibri" w:hAnsi="Calibri" w:cs="Calibri"/>
          <w:lang w:val="en-US"/>
        </w:rPr>
        <w:t xml:space="preserve"> </w:t>
      </w:r>
      <w:proofErr w:type="spellStart"/>
      <w:r w:rsidRPr="0075241F">
        <w:rPr>
          <w:rFonts w:ascii="Calibri" w:hAnsi="Calibri" w:cs="Calibri"/>
          <w:lang w:val="en-US"/>
        </w:rPr>
        <w:t>realit</w:t>
      </w:r>
      <w:proofErr w:type="spellEnd"/>
      <w:r w:rsidRPr="0075241F">
        <w:rPr>
          <w:rFonts w:ascii="Calibri" w:hAnsi="Calibri" w:cs="Calibri"/>
          <w:lang w:val="en-US"/>
        </w:rPr>
        <w:t xml:space="preserve"> </w:t>
      </w:r>
      <w:r w:rsidRPr="0075241F">
        <w:rPr>
          <w:rFonts w:ascii="Calibri" w:hAnsi="Calibri" w:cs="Calibri"/>
        </w:rPr>
        <w:t xml:space="preserve">v posledních pěti letech byl v Praze — z </w:t>
      </w:r>
      <w:proofErr w:type="spellStart"/>
      <w:r w:rsidRPr="0075241F">
        <w:rPr>
          <w:rFonts w:ascii="Calibri" w:hAnsi="Calibri" w:cs="Calibri"/>
        </w:rPr>
        <w:t>celkov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 xml:space="preserve">ho objemu transakcí se cca 62 % uskutečnilo v hlavním městě. </w:t>
      </w:r>
      <w:r w:rsidR="00C271BF">
        <w:rPr>
          <w:rFonts w:ascii="Calibri" w:hAnsi="Calibri" w:cs="Calibri"/>
        </w:rPr>
        <w:t>Čistě r</w:t>
      </w:r>
      <w:r w:rsidR="00F248AE">
        <w:rPr>
          <w:rFonts w:ascii="Calibri" w:hAnsi="Calibri" w:cs="Calibri"/>
        </w:rPr>
        <w:t>ok 2019</w:t>
      </w:r>
      <w:r w:rsidR="00C271BF">
        <w:rPr>
          <w:rFonts w:ascii="Calibri" w:hAnsi="Calibri" w:cs="Calibri"/>
        </w:rPr>
        <w:t xml:space="preserve"> byl v tomto ohledu nadprůměrný, </w:t>
      </w:r>
      <w:r w:rsidRPr="0075241F">
        <w:rPr>
          <w:rFonts w:ascii="Calibri" w:hAnsi="Calibri" w:cs="Calibri"/>
        </w:rPr>
        <w:t xml:space="preserve">zájem investorů </w:t>
      </w:r>
      <w:r w:rsidR="00C271BF">
        <w:rPr>
          <w:rFonts w:ascii="Calibri" w:hAnsi="Calibri" w:cs="Calibri"/>
        </w:rPr>
        <w:t xml:space="preserve">v Praze </w:t>
      </w:r>
      <w:r w:rsidRPr="0075241F">
        <w:rPr>
          <w:rFonts w:ascii="Calibri" w:hAnsi="Calibri" w:cs="Calibri"/>
        </w:rPr>
        <w:t>atakoval hranici a</w:t>
      </w:r>
      <w:r w:rsidR="00C271BF">
        <w:rPr>
          <w:rFonts w:ascii="Calibri" w:hAnsi="Calibri" w:cs="Calibri"/>
        </w:rPr>
        <w:t>ž</w:t>
      </w:r>
      <w:r w:rsidRPr="0075241F">
        <w:rPr>
          <w:rFonts w:ascii="Calibri" w:hAnsi="Calibri" w:cs="Calibri"/>
        </w:rPr>
        <w:t xml:space="preserve"> 80 % </w:t>
      </w:r>
      <w:r w:rsidR="00C271BF">
        <w:rPr>
          <w:rFonts w:ascii="Calibri" w:hAnsi="Calibri" w:cs="Calibri"/>
        </w:rPr>
        <w:t xml:space="preserve">ze všech </w:t>
      </w:r>
      <w:r w:rsidRPr="0075241F">
        <w:rPr>
          <w:rFonts w:ascii="Calibri" w:hAnsi="Calibri" w:cs="Calibri"/>
        </w:rPr>
        <w:t xml:space="preserve">realizovaných transakcí. </w:t>
      </w:r>
    </w:p>
    <w:p w14:paraId="34826839" w14:textId="09E523A2" w:rsidR="0002356F" w:rsidRDefault="0002356F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lang w:val="it-IT"/>
        </w:rPr>
      </w:pPr>
    </w:p>
    <w:p w14:paraId="5E62AEE0" w14:textId="06606ECB" w:rsidR="0002356F" w:rsidRDefault="0002356F">
      <w:pPr>
        <w:shd w:val="clear" w:color="auto" w:fill="FFFFFF"/>
        <w:spacing w:line="276" w:lineRule="auto"/>
        <w:jc w:val="both"/>
        <w:rPr>
          <w:rFonts w:ascii="Calibri" w:eastAsia="Helvetica" w:hAnsi="Calibri" w:cs="Calibri"/>
          <w:b/>
          <w:bCs/>
        </w:rPr>
      </w:pPr>
      <w:r>
        <w:rPr>
          <w:rFonts w:ascii="Calibri" w:eastAsia="Helvetica" w:hAnsi="Calibri" w:cs="Calibri"/>
          <w:b/>
          <w:bCs/>
        </w:rPr>
        <w:t>Vliv českých investorů nadále rostl a v roce 2019 byli podle národnosti nejaktivnějšími investory na českém trhu</w:t>
      </w:r>
    </w:p>
    <w:p w14:paraId="3C871705" w14:textId="77777777" w:rsidR="00E87C66" w:rsidRDefault="00E87C66">
      <w:pPr>
        <w:shd w:val="clear" w:color="auto" w:fill="FFFFFF"/>
        <w:spacing w:line="276" w:lineRule="auto"/>
        <w:jc w:val="both"/>
        <w:rPr>
          <w:rFonts w:ascii="Calibri" w:eastAsia="Helvetica" w:hAnsi="Calibri" w:cs="Calibri"/>
          <w:b/>
          <w:bCs/>
        </w:rPr>
      </w:pPr>
    </w:p>
    <w:p w14:paraId="30FB0D15" w14:textId="44DF8D73" w:rsidR="00553143" w:rsidRPr="0075241F" w:rsidRDefault="004B6E7D">
      <w:pPr>
        <w:shd w:val="clear" w:color="auto" w:fill="FFFFFF"/>
        <w:spacing w:line="276" w:lineRule="auto"/>
        <w:jc w:val="both"/>
        <w:rPr>
          <w:rFonts w:ascii="Calibri" w:eastAsia="Calibri" w:hAnsi="Calibri" w:cs="Calibri"/>
        </w:rPr>
      </w:pPr>
      <w:r w:rsidRPr="0075241F">
        <w:rPr>
          <w:rFonts w:ascii="Calibri" w:hAnsi="Calibri" w:cs="Calibri"/>
        </w:rPr>
        <w:t>Podíl český</w:t>
      </w:r>
      <w:proofErr w:type="spellStart"/>
      <w:r w:rsidRPr="0075241F">
        <w:rPr>
          <w:rFonts w:ascii="Calibri" w:hAnsi="Calibri" w:cs="Calibri"/>
          <w:lang w:val="de-DE"/>
        </w:rPr>
        <w:t>ch</w:t>
      </w:r>
      <w:proofErr w:type="spellEnd"/>
      <w:r w:rsidRPr="0075241F">
        <w:rPr>
          <w:rFonts w:ascii="Calibri" w:hAnsi="Calibri" w:cs="Calibri"/>
          <w:lang w:val="de-DE"/>
        </w:rPr>
        <w:t xml:space="preserve"> </w:t>
      </w:r>
      <w:proofErr w:type="spellStart"/>
      <w:r w:rsidRPr="0075241F">
        <w:rPr>
          <w:rFonts w:ascii="Calibri" w:hAnsi="Calibri" w:cs="Calibri"/>
          <w:lang w:val="de-DE"/>
        </w:rPr>
        <w:t>investor</w:t>
      </w:r>
      <w:proofErr w:type="spellEnd"/>
      <w:r w:rsidRPr="0075241F">
        <w:rPr>
          <w:rFonts w:ascii="Calibri" w:hAnsi="Calibri" w:cs="Calibri"/>
        </w:rPr>
        <w:t xml:space="preserve">ů </w:t>
      </w:r>
      <w:r w:rsidRPr="0075241F">
        <w:rPr>
          <w:rFonts w:ascii="Calibri" w:hAnsi="Calibri" w:cs="Calibri"/>
          <w:lang w:val="da-DK"/>
        </w:rPr>
        <w:t xml:space="preserve">roste, </w:t>
      </w:r>
      <w:r w:rsidRPr="0075241F">
        <w:rPr>
          <w:rFonts w:ascii="Calibri" w:hAnsi="Calibri" w:cs="Calibri"/>
        </w:rPr>
        <w:t xml:space="preserve">zatímco například v roce 2015 měli čeští investoři podíl na </w:t>
      </w:r>
      <w:proofErr w:type="spellStart"/>
      <w:r w:rsidRPr="0075241F">
        <w:rPr>
          <w:rFonts w:ascii="Calibri" w:hAnsi="Calibri" w:cs="Calibri"/>
        </w:rPr>
        <w:t>celkov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 xml:space="preserve">m objemu transakcí zhruba 23 %, za rok 2019 dosahuje český kapitál úrovně kolem 40 % z </w:t>
      </w:r>
      <w:proofErr w:type="spellStart"/>
      <w:r w:rsidRPr="0075241F">
        <w:rPr>
          <w:rFonts w:ascii="Calibri" w:hAnsi="Calibri" w:cs="Calibri"/>
        </w:rPr>
        <w:t>celkov</w:t>
      </w:r>
      <w:proofErr w:type="spellEnd"/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>ho objemu. Dále byli letos velmi aktivní investoři z Jižní Koreje s t</w:t>
      </w:r>
      <w:r w:rsidRPr="0075241F">
        <w:rPr>
          <w:rFonts w:ascii="Calibri" w:hAnsi="Calibri" w:cs="Calibri"/>
          <w:lang w:val="fr-FR"/>
        </w:rPr>
        <w:t>é</w:t>
      </w:r>
      <w:r w:rsidRPr="0075241F">
        <w:rPr>
          <w:rFonts w:ascii="Calibri" w:hAnsi="Calibri" w:cs="Calibri"/>
        </w:rPr>
        <w:t>měř 20% podílem, následováni Němci s 10 %.</w:t>
      </w:r>
      <w:bookmarkStart w:id="1" w:name="_Hlk25652706"/>
    </w:p>
    <w:p w14:paraId="2A31ACB5" w14:textId="77777777" w:rsidR="00553143" w:rsidRPr="0075241F" w:rsidRDefault="00553143">
      <w:pPr>
        <w:shd w:val="clear" w:color="auto" w:fill="FFFFFF"/>
        <w:spacing w:line="276" w:lineRule="auto"/>
        <w:jc w:val="both"/>
        <w:rPr>
          <w:rStyle w:val="dnA"/>
          <w:rFonts w:ascii="Calibri" w:hAnsi="Calibri" w:cs="Calibri"/>
        </w:rPr>
      </w:pPr>
    </w:p>
    <w:p w14:paraId="4EBB5992" w14:textId="7EA9BEDF" w:rsidR="00553143" w:rsidRDefault="004B6E7D">
      <w:pPr>
        <w:jc w:val="both"/>
        <w:rPr>
          <w:rFonts w:ascii="Calibri" w:hAnsi="Calibri" w:cs="Calibri"/>
          <w:i/>
          <w:iCs/>
          <w:rtl/>
          <w:lang w:val="ar-SA"/>
        </w:rPr>
      </w:pPr>
      <w:r w:rsidRPr="0075241F">
        <w:rPr>
          <w:rFonts w:ascii="Calibri" w:hAnsi="Calibri" w:cs="Calibri"/>
          <w:b/>
          <w:bCs/>
        </w:rPr>
        <w:t xml:space="preserve">Vítězslav </w:t>
      </w:r>
      <w:proofErr w:type="spellStart"/>
      <w:r w:rsidRPr="0075241F">
        <w:rPr>
          <w:rFonts w:ascii="Calibri" w:hAnsi="Calibri" w:cs="Calibri"/>
          <w:b/>
          <w:bCs/>
        </w:rPr>
        <w:t>Dolež</w:t>
      </w:r>
      <w:proofErr w:type="spellEnd"/>
      <w:r w:rsidRPr="0075241F">
        <w:rPr>
          <w:rFonts w:ascii="Calibri" w:hAnsi="Calibri" w:cs="Calibri"/>
          <w:b/>
          <w:bCs/>
          <w:lang w:val="en-US"/>
        </w:rPr>
        <w:t xml:space="preserve">al, Associate Director Investment Properties </w:t>
      </w:r>
      <w:proofErr w:type="spellStart"/>
      <w:r w:rsidRPr="0075241F">
        <w:rPr>
          <w:rFonts w:ascii="Calibri" w:hAnsi="Calibri" w:cs="Calibri"/>
          <w:b/>
          <w:bCs/>
          <w:lang w:val="en-US"/>
        </w:rPr>
        <w:t>spole</w:t>
      </w:r>
      <w:r w:rsidRPr="0075241F">
        <w:rPr>
          <w:rFonts w:ascii="Calibri" w:hAnsi="Calibri" w:cs="Calibri"/>
          <w:b/>
          <w:bCs/>
        </w:rPr>
        <w:t>čnosti</w:t>
      </w:r>
      <w:proofErr w:type="spellEnd"/>
      <w:r w:rsidRPr="0075241F">
        <w:rPr>
          <w:rFonts w:ascii="Calibri" w:hAnsi="Calibri" w:cs="Calibri"/>
          <w:b/>
          <w:bCs/>
        </w:rPr>
        <w:t xml:space="preserve"> CBRE</w:t>
      </w:r>
      <w:r w:rsidRPr="0075241F">
        <w:rPr>
          <w:rFonts w:ascii="Calibri" w:hAnsi="Calibri" w:cs="Calibri"/>
        </w:rPr>
        <w:t xml:space="preserve"> k českým investorům, říká: </w:t>
      </w:r>
      <w:r w:rsidRPr="0075241F">
        <w:rPr>
          <w:rFonts w:ascii="Calibri" w:hAnsi="Calibri" w:cs="Calibri"/>
          <w:i/>
          <w:iCs/>
          <w:rtl/>
          <w:lang w:val="ar-SA"/>
        </w:rPr>
        <w:t>“</w:t>
      </w:r>
      <w:r w:rsidRPr="0075241F">
        <w:rPr>
          <w:rFonts w:ascii="Calibri" w:hAnsi="Calibri" w:cs="Calibri"/>
          <w:i/>
          <w:iCs/>
        </w:rPr>
        <w:t>Za poslední tři roky CBRE v</w:t>
      </w:r>
      <w:r w:rsidR="00DE0E80">
        <w:rPr>
          <w:rFonts w:ascii="Calibri" w:hAnsi="Calibri" w:cs="Calibri"/>
          <w:i/>
          <w:iCs/>
        </w:rPr>
        <w:t> České republice</w:t>
      </w:r>
      <w:bookmarkEnd w:id="1"/>
      <w:r w:rsidRPr="0075241F">
        <w:rPr>
          <w:rFonts w:ascii="Calibri" w:hAnsi="Calibri" w:cs="Calibri"/>
          <w:i/>
          <w:iCs/>
        </w:rPr>
        <w:t xml:space="preserve"> </w:t>
      </w:r>
      <w:proofErr w:type="spellStart"/>
      <w:r w:rsidRPr="0075241F">
        <w:rPr>
          <w:rFonts w:ascii="Calibri" w:hAnsi="Calibri" w:cs="Calibri"/>
          <w:i/>
          <w:iCs/>
        </w:rPr>
        <w:t>uzavř</w:t>
      </w:r>
      <w:proofErr w:type="spellEnd"/>
      <w:r w:rsidRPr="0075241F">
        <w:rPr>
          <w:rFonts w:ascii="Calibri" w:hAnsi="Calibri" w:cs="Calibri"/>
          <w:i/>
          <w:iCs/>
          <w:lang w:val="pt-PT"/>
        </w:rPr>
        <w:t>elo s</w:t>
      </w:r>
      <w:r w:rsidR="00116E40">
        <w:rPr>
          <w:rFonts w:ascii="Calibri" w:hAnsi="Calibri" w:cs="Calibri"/>
          <w:i/>
          <w:iCs/>
          <w:lang w:val="pt-PT"/>
        </w:rPr>
        <w:t xml:space="preserve"> předními</w:t>
      </w:r>
      <w:r w:rsidRPr="0075241F">
        <w:rPr>
          <w:rFonts w:ascii="Calibri" w:hAnsi="Calibri" w:cs="Calibri"/>
          <w:i/>
          <w:iCs/>
        </w:rPr>
        <w:t xml:space="preserve"> český</w:t>
      </w:r>
      <w:r w:rsidRPr="0075241F">
        <w:rPr>
          <w:rFonts w:ascii="Calibri" w:hAnsi="Calibri" w:cs="Calibri"/>
          <w:i/>
          <w:iCs/>
          <w:lang w:val="en-US"/>
        </w:rPr>
        <w:t xml:space="preserve">mi </w:t>
      </w:r>
      <w:proofErr w:type="spellStart"/>
      <w:r w:rsidRPr="0075241F">
        <w:rPr>
          <w:rFonts w:ascii="Calibri" w:hAnsi="Calibri" w:cs="Calibri"/>
          <w:i/>
          <w:iCs/>
          <w:lang w:val="en-US"/>
        </w:rPr>
        <w:t>investory</w:t>
      </w:r>
      <w:proofErr w:type="spellEnd"/>
      <w:r w:rsidRPr="0075241F">
        <w:rPr>
          <w:rFonts w:ascii="Calibri" w:hAnsi="Calibri" w:cs="Calibri"/>
          <w:i/>
          <w:iCs/>
          <w:lang w:val="en-US"/>
        </w:rPr>
        <w:t xml:space="preserve"> </w:t>
      </w:r>
      <w:r w:rsidRPr="0075241F">
        <w:rPr>
          <w:rFonts w:ascii="Calibri" w:hAnsi="Calibri" w:cs="Calibri"/>
          <w:i/>
          <w:iCs/>
        </w:rPr>
        <w:t>t</w:t>
      </w:r>
      <w:r w:rsidRPr="0075241F">
        <w:rPr>
          <w:rFonts w:ascii="Calibri" w:hAnsi="Calibri" w:cs="Calibri"/>
          <w:i/>
          <w:iCs/>
          <w:lang w:val="fr-FR"/>
        </w:rPr>
        <w:t>é</w:t>
      </w:r>
      <w:r w:rsidRPr="0075241F">
        <w:rPr>
          <w:rFonts w:ascii="Calibri" w:hAnsi="Calibri" w:cs="Calibri"/>
          <w:i/>
          <w:iCs/>
        </w:rPr>
        <w:t xml:space="preserve">měř </w:t>
      </w:r>
      <w:r w:rsidR="00DA745D" w:rsidRPr="0075241F">
        <w:rPr>
          <w:rFonts w:ascii="Calibri" w:hAnsi="Calibri" w:cs="Calibri"/>
          <w:i/>
          <w:iCs/>
        </w:rPr>
        <w:t xml:space="preserve">tři desítky </w:t>
      </w:r>
      <w:r w:rsidRPr="0075241F">
        <w:rPr>
          <w:rFonts w:ascii="Calibri" w:hAnsi="Calibri" w:cs="Calibri"/>
          <w:i/>
          <w:iCs/>
        </w:rPr>
        <w:t xml:space="preserve">transakcí v </w:t>
      </w:r>
      <w:proofErr w:type="spellStart"/>
      <w:r w:rsidRPr="0075241F">
        <w:rPr>
          <w:rFonts w:ascii="Calibri" w:hAnsi="Calibri" w:cs="Calibri"/>
          <w:i/>
          <w:iCs/>
        </w:rPr>
        <w:t>celkov</w:t>
      </w:r>
      <w:proofErr w:type="spellEnd"/>
      <w:r w:rsidRPr="0075241F">
        <w:rPr>
          <w:rFonts w:ascii="Calibri" w:hAnsi="Calibri" w:cs="Calibri"/>
          <w:i/>
          <w:iCs/>
          <w:lang w:val="fr-FR"/>
        </w:rPr>
        <w:t>é</w:t>
      </w:r>
      <w:r w:rsidRPr="0075241F">
        <w:rPr>
          <w:rFonts w:ascii="Calibri" w:hAnsi="Calibri" w:cs="Calibri"/>
          <w:i/>
          <w:iCs/>
        </w:rPr>
        <w:t xml:space="preserve">m objemu </w:t>
      </w:r>
      <w:proofErr w:type="spellStart"/>
      <w:r w:rsidRPr="0075241F">
        <w:rPr>
          <w:rFonts w:ascii="Calibri" w:hAnsi="Calibri" w:cs="Calibri"/>
          <w:i/>
          <w:iCs/>
        </w:rPr>
        <w:t>př</w:t>
      </w:r>
      <w:proofErr w:type="spellEnd"/>
      <w:r w:rsidRPr="0075241F">
        <w:rPr>
          <w:rFonts w:ascii="Calibri" w:hAnsi="Calibri" w:cs="Calibri"/>
          <w:i/>
          <w:iCs/>
          <w:lang w:val="fr-FR"/>
        </w:rPr>
        <w:t xml:space="preserve">es </w:t>
      </w:r>
      <w:r w:rsidRPr="0075241F">
        <w:rPr>
          <w:rFonts w:ascii="Calibri" w:hAnsi="Calibri" w:cs="Calibri"/>
          <w:i/>
          <w:iCs/>
        </w:rPr>
        <w:t>třicet miliard korun, a proto je v t</w:t>
      </w:r>
      <w:r w:rsidRPr="0075241F">
        <w:rPr>
          <w:rFonts w:ascii="Calibri" w:hAnsi="Calibri" w:cs="Calibri"/>
          <w:i/>
          <w:iCs/>
          <w:lang w:val="fr-FR"/>
        </w:rPr>
        <w:t>é</w:t>
      </w:r>
      <w:r w:rsidRPr="0075241F">
        <w:rPr>
          <w:rFonts w:ascii="Calibri" w:hAnsi="Calibri" w:cs="Calibri"/>
          <w:i/>
          <w:iCs/>
        </w:rPr>
        <w:t xml:space="preserve">to oblasti lídrem na trhu. Mezi tyto </w:t>
      </w:r>
      <w:proofErr w:type="spellStart"/>
      <w:r w:rsidRPr="0075241F">
        <w:rPr>
          <w:rFonts w:ascii="Calibri" w:hAnsi="Calibri" w:cs="Calibri"/>
          <w:i/>
          <w:iCs/>
          <w:lang w:val="en-US"/>
        </w:rPr>
        <w:t>investory</w:t>
      </w:r>
      <w:proofErr w:type="spellEnd"/>
      <w:r w:rsidRPr="0075241F">
        <w:rPr>
          <w:rFonts w:ascii="Calibri" w:hAnsi="Calibri" w:cs="Calibri"/>
          <w:i/>
          <w:iCs/>
          <w:lang w:val="en-US"/>
        </w:rPr>
        <w:t xml:space="preserve"> </w:t>
      </w:r>
      <w:r w:rsidRPr="0075241F">
        <w:rPr>
          <w:rFonts w:ascii="Calibri" w:hAnsi="Calibri" w:cs="Calibri"/>
          <w:i/>
          <w:iCs/>
        </w:rPr>
        <w:t>patří</w:t>
      </w:r>
      <w:r w:rsidRPr="0075241F">
        <w:rPr>
          <w:rFonts w:ascii="Calibri" w:hAnsi="Calibri" w:cs="Calibri"/>
        </w:rPr>
        <w:t xml:space="preserve"> </w:t>
      </w:r>
      <w:r w:rsidRPr="0075241F">
        <w:rPr>
          <w:rFonts w:ascii="Calibri" w:hAnsi="Calibri" w:cs="Calibri"/>
          <w:i/>
          <w:iCs/>
        </w:rPr>
        <w:t>například</w:t>
      </w:r>
      <w:r w:rsidRPr="0075241F">
        <w:rPr>
          <w:rFonts w:ascii="Calibri" w:hAnsi="Calibri" w:cs="Calibri"/>
          <w:i/>
          <w:iCs/>
          <w:lang w:val="en-US"/>
        </w:rPr>
        <w:t xml:space="preserve"> REICO, CPI, WOOD &amp; Co, ZFP, DRFG, </w:t>
      </w:r>
      <w:proofErr w:type="spellStart"/>
      <w:r w:rsidRPr="0075241F">
        <w:rPr>
          <w:rFonts w:ascii="Calibri" w:hAnsi="Calibri" w:cs="Calibri"/>
          <w:i/>
          <w:iCs/>
          <w:lang w:val="en-US"/>
        </w:rPr>
        <w:t>Investika</w:t>
      </w:r>
      <w:proofErr w:type="spellEnd"/>
      <w:r w:rsidRPr="0075241F">
        <w:rPr>
          <w:rFonts w:ascii="Calibri" w:hAnsi="Calibri" w:cs="Calibri"/>
          <w:i/>
          <w:iCs/>
          <w:lang w:val="en-US"/>
        </w:rPr>
        <w:t xml:space="preserve">, </w:t>
      </w:r>
      <w:proofErr w:type="spellStart"/>
      <w:r w:rsidRPr="0075241F">
        <w:rPr>
          <w:rFonts w:ascii="Calibri" w:hAnsi="Calibri" w:cs="Calibri"/>
          <w:i/>
          <w:iCs/>
          <w:lang w:val="en-US"/>
        </w:rPr>
        <w:t>Raiffeisen</w:t>
      </w:r>
      <w:proofErr w:type="spellEnd"/>
      <w:r w:rsidRPr="0075241F">
        <w:rPr>
          <w:rFonts w:ascii="Calibri" w:hAnsi="Calibri" w:cs="Calibri"/>
          <w:i/>
          <w:iCs/>
          <w:lang w:val="en-US"/>
        </w:rPr>
        <w:t xml:space="preserve"> </w:t>
      </w:r>
      <w:proofErr w:type="spellStart"/>
      <w:r w:rsidRPr="0075241F">
        <w:rPr>
          <w:rFonts w:ascii="Calibri" w:hAnsi="Calibri" w:cs="Calibri"/>
          <w:i/>
          <w:iCs/>
          <w:lang w:val="en-US"/>
        </w:rPr>
        <w:t>realitn</w:t>
      </w:r>
      <w:proofErr w:type="spellEnd"/>
      <w:r w:rsidRPr="0075241F">
        <w:rPr>
          <w:rFonts w:ascii="Calibri" w:hAnsi="Calibri" w:cs="Calibri"/>
          <w:i/>
          <w:iCs/>
        </w:rPr>
        <w:t xml:space="preserve">í fond nebo </w:t>
      </w:r>
      <w:proofErr w:type="spellStart"/>
      <w:r w:rsidRPr="0075241F">
        <w:rPr>
          <w:rFonts w:ascii="Calibri" w:hAnsi="Calibri" w:cs="Calibri"/>
          <w:i/>
          <w:iCs/>
        </w:rPr>
        <w:t>Trigea</w:t>
      </w:r>
      <w:proofErr w:type="spellEnd"/>
      <w:r w:rsidRPr="0075241F">
        <w:rPr>
          <w:rFonts w:ascii="Calibri" w:hAnsi="Calibri" w:cs="Calibri"/>
          <w:i/>
          <w:iCs/>
        </w:rPr>
        <w:t xml:space="preserve">. </w:t>
      </w:r>
      <w:r w:rsidR="00116E40">
        <w:rPr>
          <w:rFonts w:ascii="Calibri" w:hAnsi="Calibri" w:cs="Calibri"/>
          <w:i/>
          <w:iCs/>
        </w:rPr>
        <w:t>Například i</w:t>
      </w:r>
      <w:r w:rsidRPr="0075241F">
        <w:rPr>
          <w:rFonts w:ascii="Calibri" w:hAnsi="Calibri" w:cs="Calibri"/>
          <w:i/>
          <w:iCs/>
        </w:rPr>
        <w:t>nvesticí</w:t>
      </w:r>
      <w:r w:rsidRPr="0075241F">
        <w:rPr>
          <w:rFonts w:ascii="Calibri" w:hAnsi="Calibri" w:cs="Calibri"/>
          <w:i/>
          <w:iCs/>
          <w:lang w:val="pt-PT"/>
        </w:rPr>
        <w:t xml:space="preserve">m do </w:t>
      </w:r>
      <w:proofErr w:type="spellStart"/>
      <w:r w:rsidRPr="0075241F">
        <w:rPr>
          <w:rFonts w:ascii="Calibri" w:hAnsi="Calibri" w:cs="Calibri"/>
          <w:i/>
          <w:iCs/>
        </w:rPr>
        <w:t>česk</w:t>
      </w:r>
      <w:proofErr w:type="spellEnd"/>
      <w:r w:rsidRPr="0075241F">
        <w:rPr>
          <w:rFonts w:ascii="Calibri" w:hAnsi="Calibri" w:cs="Calibri"/>
          <w:i/>
          <w:iCs/>
          <w:lang w:val="fr-FR"/>
        </w:rPr>
        <w:t>é</w:t>
      </w:r>
      <w:r w:rsidRPr="0075241F">
        <w:rPr>
          <w:rFonts w:ascii="Calibri" w:hAnsi="Calibri" w:cs="Calibri"/>
          <w:i/>
          <w:iCs/>
        </w:rPr>
        <w:t>ho maloobchodu v roce 2019 dominoval český kapitál s více než 65% podílem.</w:t>
      </w:r>
      <w:r w:rsidRPr="0075241F">
        <w:rPr>
          <w:rFonts w:ascii="Calibri" w:hAnsi="Calibri" w:cs="Calibri"/>
          <w:i/>
          <w:iCs/>
          <w:rtl/>
          <w:lang w:val="ar-SA"/>
        </w:rPr>
        <w:t>“</w:t>
      </w:r>
    </w:p>
    <w:p w14:paraId="7C581C76" w14:textId="77777777" w:rsidR="00A06B20" w:rsidRPr="0075241F" w:rsidRDefault="00A06B20">
      <w:pPr>
        <w:jc w:val="both"/>
        <w:rPr>
          <w:rFonts w:ascii="Calibri" w:eastAsia="Helvetica" w:hAnsi="Calibri" w:cs="Calibri"/>
          <w:i/>
          <w:iCs/>
        </w:rPr>
      </w:pPr>
    </w:p>
    <w:p w14:paraId="265E661D" w14:textId="37C6B6A6" w:rsidR="00553143" w:rsidRDefault="004B6E7D">
      <w:pPr>
        <w:jc w:val="center"/>
        <w:rPr>
          <w:rFonts w:ascii="Calibri" w:hAnsi="Calibri" w:cs="Calibri"/>
          <w:b/>
          <w:bCs/>
        </w:rPr>
      </w:pPr>
      <w:r w:rsidRPr="0075241F">
        <w:rPr>
          <w:rFonts w:ascii="Calibri" w:hAnsi="Calibri" w:cs="Calibri"/>
          <w:b/>
          <w:bCs/>
        </w:rPr>
        <w:t>Podíl český</w:t>
      </w:r>
      <w:proofErr w:type="spellStart"/>
      <w:r w:rsidRPr="0075241F">
        <w:rPr>
          <w:rFonts w:ascii="Calibri" w:hAnsi="Calibri" w:cs="Calibri"/>
          <w:b/>
          <w:bCs/>
          <w:lang w:val="de-DE"/>
        </w:rPr>
        <w:t>ch</w:t>
      </w:r>
      <w:proofErr w:type="spellEnd"/>
      <w:r w:rsidRPr="0075241F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75241F">
        <w:rPr>
          <w:rFonts w:ascii="Calibri" w:hAnsi="Calibri" w:cs="Calibri"/>
          <w:b/>
          <w:bCs/>
          <w:lang w:val="de-DE"/>
        </w:rPr>
        <w:t>investor</w:t>
      </w:r>
      <w:proofErr w:type="spellEnd"/>
      <w:r w:rsidRPr="0075241F">
        <w:rPr>
          <w:rFonts w:ascii="Calibri" w:hAnsi="Calibri" w:cs="Calibri"/>
          <w:b/>
          <w:bCs/>
        </w:rPr>
        <w:t>ů v jednotlivých sektorech v roce 2019</w:t>
      </w:r>
    </w:p>
    <w:p w14:paraId="5D59E089" w14:textId="77777777" w:rsidR="00E87BA2" w:rsidRPr="0075241F" w:rsidRDefault="00E87BA2">
      <w:pPr>
        <w:jc w:val="center"/>
        <w:rPr>
          <w:rFonts w:ascii="Calibri" w:eastAsia="Helvetica" w:hAnsi="Calibri" w:cs="Calibri"/>
          <w:i/>
          <w:iCs/>
        </w:rPr>
      </w:pPr>
    </w:p>
    <w:tbl>
      <w:tblPr>
        <w:tblStyle w:val="TableNormal1"/>
        <w:tblW w:w="52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37"/>
        <w:gridCol w:w="2097"/>
        <w:gridCol w:w="1701"/>
      </w:tblGrid>
      <w:tr w:rsidR="00553143" w:rsidRPr="0075241F" w14:paraId="13544A53" w14:textId="77777777" w:rsidTr="00956FF3">
        <w:trPr>
          <w:trHeight w:val="69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01BBD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4D3C9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Cena (milion</w:t>
            </w: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ů EUR)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DB3B7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553143" w:rsidRPr="0075241F" w14:paraId="4D61C5E2" w14:textId="77777777" w:rsidTr="0001062D">
        <w:trPr>
          <w:trHeight w:val="160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19A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56FF3">
              <w:rPr>
                <w:rFonts w:ascii="Calibri" w:hAnsi="Calibri" w:cs="Calibri"/>
                <w:sz w:val="22"/>
                <w:szCs w:val="22"/>
              </w:rPr>
              <w:t>Industrial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840A1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ru-RU"/>
              </w:rPr>
              <w:t>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44618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5 %</w:t>
            </w:r>
          </w:p>
        </w:tc>
      </w:tr>
      <w:tr w:rsidR="00553143" w:rsidRPr="0075241F" w14:paraId="384AAD15" w14:textId="77777777" w:rsidTr="0001062D">
        <w:trPr>
          <w:trHeight w:val="141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4DA9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Office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D2F1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CE36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22 %</w:t>
            </w:r>
          </w:p>
        </w:tc>
      </w:tr>
      <w:tr w:rsidR="00553143" w:rsidRPr="0075241F" w14:paraId="2F991655" w14:textId="77777777" w:rsidTr="0001062D">
        <w:trPr>
          <w:trHeight w:val="119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ED2B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Retail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5EF39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819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74183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65 %</w:t>
            </w:r>
          </w:p>
        </w:tc>
      </w:tr>
      <w:tr w:rsidR="00553143" w:rsidRPr="0075241F" w14:paraId="704DF42B" w14:textId="77777777">
        <w:trPr>
          <w:trHeight w:val="267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A8942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  <w:lang w:val="en-US"/>
              </w:rPr>
              <w:t>Mixed Use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05C4E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1E012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8 %</w:t>
            </w:r>
          </w:p>
        </w:tc>
      </w:tr>
      <w:tr w:rsidR="00553143" w:rsidRPr="0075241F" w14:paraId="0C9482EC" w14:textId="77777777">
        <w:trPr>
          <w:trHeight w:val="267"/>
          <w:jc w:val="center"/>
        </w:trPr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0975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C6D1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1 289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7F667" w14:textId="77777777" w:rsidR="00553143" w:rsidRPr="00956FF3" w:rsidRDefault="004B6E7D">
            <w:pPr>
              <w:rPr>
                <w:rFonts w:ascii="Calibri" w:hAnsi="Calibri" w:cs="Calibri"/>
                <w:sz w:val="22"/>
                <w:szCs w:val="22"/>
              </w:rPr>
            </w:pPr>
            <w:r w:rsidRPr="00956FF3">
              <w:rPr>
                <w:rFonts w:ascii="Calibri" w:hAnsi="Calibri" w:cs="Calibri"/>
                <w:sz w:val="22"/>
                <w:szCs w:val="22"/>
              </w:rPr>
              <w:t>100 %</w:t>
            </w:r>
          </w:p>
        </w:tc>
      </w:tr>
    </w:tbl>
    <w:p w14:paraId="386F3F5F" w14:textId="77777777" w:rsidR="00553143" w:rsidRDefault="00553143">
      <w:pPr>
        <w:widowControl w:val="0"/>
        <w:jc w:val="center"/>
        <w:rPr>
          <w:rFonts w:ascii="Helvetica" w:eastAsia="Helvetica" w:hAnsi="Helvetica" w:cs="Helvetica"/>
          <w:i/>
          <w:iCs/>
        </w:rPr>
      </w:pPr>
    </w:p>
    <w:p w14:paraId="6B921D8C" w14:textId="77777777" w:rsidR="00553143" w:rsidRDefault="004B6E7D">
      <w:pPr>
        <w:spacing w:line="276" w:lineRule="auto"/>
        <w:jc w:val="both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Kontakt:</w:t>
      </w:r>
    </w:p>
    <w:p w14:paraId="5F84639E" w14:textId="77777777" w:rsidR="00553143" w:rsidRDefault="004B6E7D">
      <w:pPr>
        <w:spacing w:line="276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Pavlína Musilová</w:t>
      </w:r>
      <w:r>
        <w:rPr>
          <w:rFonts w:ascii="Calibri" w:hAnsi="Calibri"/>
          <w:sz w:val="22"/>
          <w:szCs w:val="22"/>
          <w:lang w:val="en-US"/>
        </w:rPr>
        <w:t>, Communications Manager, +420</w:t>
      </w:r>
      <w:r>
        <w:rPr>
          <w:rFonts w:ascii="Calibri" w:hAnsi="Calibri"/>
          <w:sz w:val="22"/>
          <w:szCs w:val="22"/>
        </w:rPr>
        <w:t xml:space="preserve"> 606 611 074, </w:t>
      </w:r>
      <w:hyperlink r:id="rId7" w:history="1">
        <w:r>
          <w:rPr>
            <w:rStyle w:val="Hyperlink0"/>
          </w:rPr>
          <w:t>pavlina.musilova1@cbre.com</w:t>
        </w:r>
      </w:hyperlink>
    </w:p>
    <w:p w14:paraId="74EE83A1" w14:textId="77777777" w:rsidR="00553143" w:rsidRDefault="004B6E7D">
      <w:pPr>
        <w:rPr>
          <w:rStyle w:val="Hyperlink0"/>
        </w:rPr>
      </w:pPr>
      <w:r>
        <w:rPr>
          <w:rStyle w:val="dn"/>
          <w:rFonts w:ascii="Calibri" w:hAnsi="Calibri"/>
          <w:sz w:val="22"/>
          <w:szCs w:val="22"/>
        </w:rPr>
        <w:t xml:space="preserve">CBRE Czech Republic - </w:t>
      </w:r>
      <w:hyperlink r:id="rId8" w:history="1">
        <w:r>
          <w:rPr>
            <w:rStyle w:val="Hyperlink0"/>
            <w:lang w:val="nl-NL"/>
          </w:rPr>
          <w:t>Facebook</w:t>
        </w:r>
      </w:hyperlink>
      <w:r>
        <w:rPr>
          <w:rStyle w:val="Hyperlink0"/>
        </w:rPr>
        <w:t xml:space="preserve">, </w:t>
      </w:r>
      <w:hyperlink r:id="rId9" w:history="1">
        <w:proofErr w:type="spellStart"/>
        <w:r>
          <w:rPr>
            <w:rStyle w:val="Hyperlink0"/>
          </w:rPr>
          <w:t>Linkedin</w:t>
        </w:r>
        <w:proofErr w:type="spellEnd"/>
      </w:hyperlink>
      <w:r>
        <w:rPr>
          <w:rStyle w:val="Hyperlink0"/>
        </w:rPr>
        <w:t xml:space="preserve">, </w:t>
      </w:r>
      <w:hyperlink r:id="rId10" w:history="1">
        <w:r>
          <w:rPr>
            <w:rStyle w:val="Hyperlink0"/>
            <w:lang w:val="da-DK"/>
          </w:rPr>
          <w:t>Instagram</w:t>
        </w:r>
      </w:hyperlink>
    </w:p>
    <w:p w14:paraId="7D3CB284" w14:textId="77777777" w:rsidR="00553143" w:rsidRDefault="00553143">
      <w:pPr>
        <w:spacing w:line="276" w:lineRule="auto"/>
        <w:jc w:val="both"/>
        <w:rPr>
          <w:rStyle w:val="dn"/>
          <w:rFonts w:ascii="Helvetica" w:eastAsia="Helvetica" w:hAnsi="Helvetica" w:cs="Helvetica"/>
          <w:b/>
          <w:bCs/>
        </w:rPr>
      </w:pPr>
    </w:p>
    <w:p w14:paraId="1C997C0C" w14:textId="77777777" w:rsidR="00553143" w:rsidRDefault="004B6E7D">
      <w:pPr>
        <w:spacing w:line="276" w:lineRule="auto"/>
        <w:jc w:val="both"/>
        <w:rPr>
          <w:rStyle w:val="dn"/>
          <w:rFonts w:ascii="Helvetica" w:eastAsia="Helvetica" w:hAnsi="Helvetica" w:cs="Helvetica"/>
          <w:b/>
          <w:bCs/>
          <w:sz w:val="18"/>
          <w:szCs w:val="18"/>
          <w:u w:val="single"/>
        </w:rPr>
      </w:pPr>
      <w:bookmarkStart w:id="2" w:name="_Hlk488687261"/>
      <w:r>
        <w:rPr>
          <w:rStyle w:val="dn"/>
          <w:rFonts w:ascii="Helvetica" w:hAnsi="Helvetica"/>
          <w:b/>
          <w:bCs/>
          <w:sz w:val="18"/>
          <w:szCs w:val="18"/>
          <w:u w:val="single"/>
          <w:lang w:val="pt-PT"/>
        </w:rPr>
        <w:t>O CBRE</w:t>
      </w:r>
      <w:bookmarkEnd w:id="2"/>
    </w:p>
    <w:p w14:paraId="4738A935" w14:textId="77777777" w:rsidR="00553143" w:rsidRDefault="004B6E7D">
      <w:pPr>
        <w:spacing w:line="276" w:lineRule="auto"/>
        <w:jc w:val="both"/>
      </w:pPr>
      <w:r>
        <w:rPr>
          <w:rStyle w:val="dn"/>
          <w:rFonts w:ascii="Calibri" w:hAnsi="Calibri"/>
          <w:sz w:val="18"/>
          <w:szCs w:val="18"/>
        </w:rPr>
        <w:t xml:space="preserve">CBRE Group, společnost figurující na žebříčku </w:t>
      </w:r>
      <w:proofErr w:type="spellStart"/>
      <w:r>
        <w:rPr>
          <w:rStyle w:val="dn"/>
          <w:rFonts w:ascii="Calibri" w:hAnsi="Calibri"/>
          <w:sz w:val="18"/>
          <w:szCs w:val="18"/>
        </w:rPr>
        <w:t>Fortune</w:t>
      </w:r>
      <w:proofErr w:type="spellEnd"/>
      <w:r>
        <w:rPr>
          <w:rStyle w:val="dn"/>
          <w:rFonts w:ascii="Calibri" w:hAnsi="Calibri"/>
          <w:sz w:val="18"/>
          <w:szCs w:val="18"/>
        </w:rPr>
        <w:t xml:space="preserve"> 500 a indexu S&amp;P 500 se sídlem v Los Angeles, je světovou vedoucí společností v oblasti realitních služeb a investic (z hlediska výnosů za rok 2018). S </w:t>
      </w:r>
      <w:proofErr w:type="spellStart"/>
      <w:r>
        <w:rPr>
          <w:rStyle w:val="dn"/>
          <w:rFonts w:ascii="Calibri" w:hAnsi="Calibri"/>
          <w:sz w:val="18"/>
          <w:szCs w:val="18"/>
        </w:rPr>
        <w:t>př</w:t>
      </w:r>
      <w:r>
        <w:rPr>
          <w:rStyle w:val="dn"/>
          <w:rFonts w:ascii="Calibri" w:hAnsi="Calibri"/>
          <w:sz w:val="18"/>
          <w:szCs w:val="18"/>
          <w:lang w:val="en-US"/>
        </w:rPr>
        <w:t>ibli</w:t>
      </w:r>
      <w:proofErr w:type="spellEnd"/>
      <w:r>
        <w:rPr>
          <w:rStyle w:val="dn"/>
          <w:rFonts w:ascii="Calibri" w:hAnsi="Calibri"/>
          <w:sz w:val="18"/>
          <w:szCs w:val="18"/>
        </w:rPr>
        <w:t>žně 90 000 zaměstnanci poskytuje služby majitelům nemovitostí, investorů</w:t>
      </w:r>
      <w:r>
        <w:rPr>
          <w:rStyle w:val="dn"/>
          <w:rFonts w:ascii="Calibri" w:hAnsi="Calibri"/>
          <w:sz w:val="18"/>
          <w:szCs w:val="18"/>
          <w:lang w:val="pt-PT"/>
        </w:rPr>
        <w:t>m a n</w:t>
      </w:r>
      <w:proofErr w:type="spellStart"/>
      <w:r>
        <w:rPr>
          <w:rStyle w:val="dn"/>
          <w:rFonts w:ascii="Calibri" w:hAnsi="Calibri"/>
          <w:sz w:val="18"/>
          <w:szCs w:val="18"/>
        </w:rPr>
        <w:t>ájemníkům</w:t>
      </w:r>
      <w:proofErr w:type="spellEnd"/>
      <w:r>
        <w:rPr>
          <w:rStyle w:val="dn"/>
          <w:rFonts w:ascii="Calibri" w:hAnsi="Calibri"/>
          <w:sz w:val="18"/>
          <w:szCs w:val="18"/>
        </w:rPr>
        <w:t xml:space="preserve"> prostřednictvím více než 480 poboček po cel</w:t>
      </w:r>
      <w:r>
        <w:rPr>
          <w:rStyle w:val="dn"/>
          <w:rFonts w:ascii="Calibri" w:hAnsi="Calibri"/>
          <w:sz w:val="18"/>
          <w:szCs w:val="18"/>
          <w:lang w:val="fr-FR"/>
        </w:rPr>
        <w:t>é</w:t>
      </w:r>
      <w:r>
        <w:rPr>
          <w:rStyle w:val="dn"/>
          <w:rFonts w:ascii="Calibri" w:hAnsi="Calibri"/>
          <w:sz w:val="18"/>
          <w:szCs w:val="18"/>
        </w:rPr>
        <w:t xml:space="preserve">m světě. Společnost CBRE poskytuje širokou škálu integrovaných služeb, </w:t>
      </w:r>
      <w:proofErr w:type="spellStart"/>
      <w:r>
        <w:rPr>
          <w:rStyle w:val="dn"/>
          <w:rFonts w:ascii="Calibri" w:hAnsi="Calibri"/>
          <w:sz w:val="18"/>
          <w:szCs w:val="18"/>
        </w:rPr>
        <w:t>kter</w:t>
      </w:r>
      <w:proofErr w:type="spellEnd"/>
      <w:r>
        <w:rPr>
          <w:rStyle w:val="dn"/>
          <w:rFonts w:ascii="Calibri" w:hAnsi="Calibri"/>
          <w:sz w:val="18"/>
          <w:szCs w:val="18"/>
          <w:lang w:val="fr-FR"/>
        </w:rPr>
        <w:t xml:space="preserve">é </w:t>
      </w:r>
      <w:r>
        <w:rPr>
          <w:rStyle w:val="dn"/>
          <w:rFonts w:ascii="Calibri" w:hAnsi="Calibri"/>
          <w:sz w:val="18"/>
          <w:szCs w:val="18"/>
        </w:rPr>
        <w:t xml:space="preserve">zahrnují </w:t>
      </w:r>
      <w:r>
        <w:rPr>
          <w:rStyle w:val="dn"/>
          <w:rFonts w:ascii="Calibri" w:hAnsi="Calibri"/>
          <w:sz w:val="18"/>
          <w:szCs w:val="18"/>
          <w:lang w:val="en-US"/>
        </w:rPr>
        <w:t xml:space="preserve">project management; </w:t>
      </w:r>
      <w:proofErr w:type="gramStart"/>
      <w:r>
        <w:rPr>
          <w:rStyle w:val="dn"/>
          <w:rFonts w:ascii="Calibri" w:hAnsi="Calibri"/>
          <w:sz w:val="18"/>
          <w:szCs w:val="18"/>
          <w:lang w:val="en-US"/>
        </w:rPr>
        <w:t>property</w:t>
      </w:r>
      <w:proofErr w:type="gramEnd"/>
      <w:r>
        <w:rPr>
          <w:rStyle w:val="dn"/>
          <w:rFonts w:ascii="Calibri" w:hAnsi="Calibri"/>
          <w:sz w:val="18"/>
          <w:szCs w:val="18"/>
          <w:lang w:val="en-US"/>
        </w:rPr>
        <w:t xml:space="preserve"> management; investment management; </w:t>
      </w:r>
      <w:proofErr w:type="spellStart"/>
      <w:r>
        <w:rPr>
          <w:rStyle w:val="dn"/>
          <w:rFonts w:ascii="Calibri" w:hAnsi="Calibri"/>
          <w:sz w:val="18"/>
          <w:szCs w:val="18"/>
          <w:lang w:val="en-US"/>
        </w:rPr>
        <w:t>oce</w:t>
      </w:r>
      <w:r>
        <w:rPr>
          <w:rStyle w:val="dn"/>
          <w:rFonts w:ascii="Calibri" w:hAnsi="Calibri"/>
          <w:sz w:val="18"/>
          <w:szCs w:val="18"/>
        </w:rPr>
        <w:t>ňování</w:t>
      </w:r>
      <w:proofErr w:type="spellEnd"/>
      <w:r>
        <w:rPr>
          <w:rStyle w:val="dn"/>
          <w:rFonts w:ascii="Calibri" w:hAnsi="Calibri"/>
          <w:sz w:val="18"/>
          <w:szCs w:val="18"/>
        </w:rPr>
        <w:t xml:space="preserve"> nemovitostí</w:t>
      </w:r>
      <w:r>
        <w:rPr>
          <w:rStyle w:val="dn"/>
          <w:rFonts w:ascii="Calibri" w:hAnsi="Calibri"/>
          <w:sz w:val="18"/>
          <w:szCs w:val="18"/>
          <w:lang w:val="it-IT"/>
        </w:rPr>
        <w:t>; pron</w:t>
      </w:r>
      <w:proofErr w:type="spellStart"/>
      <w:r>
        <w:rPr>
          <w:rStyle w:val="dn"/>
          <w:rFonts w:ascii="Calibri" w:hAnsi="Calibri"/>
          <w:sz w:val="18"/>
          <w:szCs w:val="18"/>
        </w:rPr>
        <w:t>ájem</w:t>
      </w:r>
      <w:proofErr w:type="spellEnd"/>
      <w:r>
        <w:rPr>
          <w:rStyle w:val="dn"/>
          <w:rFonts w:ascii="Calibri" w:hAnsi="Calibri"/>
          <w:sz w:val="18"/>
          <w:szCs w:val="18"/>
        </w:rPr>
        <w:t xml:space="preserve"> nemovitostí; průzkumy trhu a </w:t>
      </w:r>
      <w:proofErr w:type="spellStart"/>
      <w:r>
        <w:rPr>
          <w:rStyle w:val="dn"/>
          <w:rFonts w:ascii="Calibri" w:hAnsi="Calibri"/>
          <w:sz w:val="18"/>
          <w:szCs w:val="18"/>
        </w:rPr>
        <w:t>strategick</w:t>
      </w:r>
      <w:proofErr w:type="spellEnd"/>
      <w:r>
        <w:rPr>
          <w:rStyle w:val="dn"/>
          <w:rFonts w:ascii="Calibri" w:hAnsi="Calibri"/>
          <w:sz w:val="18"/>
          <w:szCs w:val="18"/>
          <w:lang w:val="fr-FR"/>
        </w:rPr>
        <w:t xml:space="preserve">é </w:t>
      </w:r>
      <w:r>
        <w:rPr>
          <w:rStyle w:val="dn"/>
          <w:rFonts w:ascii="Calibri" w:hAnsi="Calibri"/>
          <w:sz w:val="18"/>
          <w:szCs w:val="18"/>
        </w:rPr>
        <w:t>poradenství. S t</w:t>
      </w:r>
      <w:r>
        <w:rPr>
          <w:rStyle w:val="dn"/>
          <w:rFonts w:ascii="Calibri" w:hAnsi="Calibri"/>
          <w:sz w:val="18"/>
          <w:szCs w:val="18"/>
          <w:lang w:val="fr-FR"/>
        </w:rPr>
        <w:t>é</w:t>
      </w:r>
      <w:r>
        <w:rPr>
          <w:rStyle w:val="dn"/>
          <w:rFonts w:ascii="Calibri" w:hAnsi="Calibri"/>
          <w:sz w:val="18"/>
          <w:szCs w:val="18"/>
        </w:rPr>
        <w:t xml:space="preserve">měř 350 zaměstnanci CBRE v </w:t>
      </w:r>
      <w:proofErr w:type="spellStart"/>
      <w:r>
        <w:rPr>
          <w:rStyle w:val="dn"/>
          <w:rFonts w:ascii="Calibri" w:hAnsi="Calibri"/>
          <w:sz w:val="18"/>
          <w:szCs w:val="18"/>
        </w:rPr>
        <w:t>Česk</w:t>
      </w:r>
      <w:proofErr w:type="spellEnd"/>
      <w:r>
        <w:rPr>
          <w:rStyle w:val="dn"/>
          <w:rFonts w:ascii="Calibri" w:hAnsi="Calibri"/>
          <w:sz w:val="18"/>
          <w:szCs w:val="18"/>
          <w:lang w:val="fr-FR"/>
        </w:rPr>
        <w:t xml:space="preserve">é </w:t>
      </w:r>
      <w:r>
        <w:rPr>
          <w:rStyle w:val="dn"/>
          <w:rFonts w:ascii="Calibri" w:hAnsi="Calibri"/>
          <w:sz w:val="18"/>
          <w:szCs w:val="18"/>
        </w:rPr>
        <w:t>republice spravuje t</w:t>
      </w:r>
      <w:r>
        <w:rPr>
          <w:rStyle w:val="dn"/>
          <w:rFonts w:ascii="Calibri" w:hAnsi="Calibri"/>
          <w:sz w:val="18"/>
          <w:szCs w:val="18"/>
          <w:lang w:val="fr-FR"/>
        </w:rPr>
        <w:t>é</w:t>
      </w:r>
      <w:r>
        <w:rPr>
          <w:rStyle w:val="dn"/>
          <w:rFonts w:ascii="Calibri" w:hAnsi="Calibri"/>
          <w:sz w:val="18"/>
          <w:szCs w:val="18"/>
        </w:rPr>
        <w:t xml:space="preserve">měř 75 objektů komerčních budov o </w:t>
      </w:r>
      <w:proofErr w:type="spellStart"/>
      <w:r>
        <w:rPr>
          <w:rStyle w:val="dn"/>
          <w:rFonts w:ascii="Calibri" w:hAnsi="Calibri"/>
          <w:sz w:val="18"/>
          <w:szCs w:val="18"/>
        </w:rPr>
        <w:t>celkov</w:t>
      </w:r>
      <w:proofErr w:type="spellEnd"/>
      <w:r>
        <w:rPr>
          <w:rStyle w:val="dn"/>
          <w:rFonts w:ascii="Calibri" w:hAnsi="Calibri"/>
          <w:sz w:val="18"/>
          <w:szCs w:val="18"/>
          <w:lang w:val="fr-FR"/>
        </w:rPr>
        <w:t xml:space="preserve">é </w:t>
      </w:r>
      <w:r>
        <w:rPr>
          <w:rStyle w:val="dn"/>
          <w:rFonts w:ascii="Calibri" w:hAnsi="Calibri"/>
          <w:sz w:val="18"/>
          <w:szCs w:val="18"/>
        </w:rPr>
        <w:t>rozloze t</w:t>
      </w:r>
      <w:r>
        <w:rPr>
          <w:rStyle w:val="dn"/>
          <w:rFonts w:ascii="Calibri" w:hAnsi="Calibri"/>
          <w:sz w:val="18"/>
          <w:szCs w:val="18"/>
          <w:lang w:val="fr-FR"/>
        </w:rPr>
        <w:t>é</w:t>
      </w:r>
      <w:r>
        <w:rPr>
          <w:rStyle w:val="dn"/>
          <w:rFonts w:ascii="Calibri" w:hAnsi="Calibri"/>
          <w:sz w:val="18"/>
          <w:szCs w:val="18"/>
        </w:rPr>
        <w:t>měř 1,2 </w:t>
      </w:r>
      <w:r>
        <w:rPr>
          <w:rStyle w:val="dn"/>
          <w:rFonts w:ascii="Calibri" w:hAnsi="Calibri"/>
          <w:sz w:val="18"/>
          <w:szCs w:val="18"/>
          <w:lang w:val="pt-PT"/>
        </w:rPr>
        <w:t>mil.</w:t>
      </w:r>
      <w:r>
        <w:rPr>
          <w:rStyle w:val="dn"/>
          <w:rFonts w:ascii="Calibri" w:hAnsi="Calibri"/>
          <w:sz w:val="18"/>
          <w:szCs w:val="18"/>
        </w:rPr>
        <w:t> m</w:t>
      </w:r>
      <w:r>
        <w:rPr>
          <w:rStyle w:val="dn"/>
          <w:rFonts w:ascii="Calibri" w:hAnsi="Calibri"/>
          <w:sz w:val="18"/>
          <w:szCs w:val="18"/>
          <w:vertAlign w:val="superscript"/>
        </w:rPr>
        <w:t>2</w:t>
      </w:r>
      <w:r>
        <w:rPr>
          <w:rStyle w:val="dn"/>
          <w:rFonts w:ascii="Calibri" w:hAnsi="Calibri"/>
          <w:sz w:val="18"/>
          <w:szCs w:val="18"/>
        </w:rPr>
        <w:t xml:space="preserve">. Pro více informací navštivte </w:t>
      </w:r>
      <w:proofErr w:type="spellStart"/>
      <w:r>
        <w:rPr>
          <w:rStyle w:val="dn"/>
          <w:rFonts w:ascii="Calibri" w:hAnsi="Calibri"/>
          <w:sz w:val="18"/>
          <w:szCs w:val="18"/>
        </w:rPr>
        <w:t>internetov</w:t>
      </w:r>
      <w:proofErr w:type="spellEnd"/>
      <w:r>
        <w:rPr>
          <w:rStyle w:val="dn"/>
          <w:rFonts w:ascii="Calibri" w:hAnsi="Calibri"/>
          <w:sz w:val="18"/>
          <w:szCs w:val="18"/>
          <w:lang w:val="fr-FR"/>
        </w:rPr>
        <w:t xml:space="preserve">é </w:t>
      </w:r>
      <w:r>
        <w:rPr>
          <w:rStyle w:val="dn"/>
          <w:rFonts w:ascii="Calibri" w:hAnsi="Calibri"/>
          <w:sz w:val="18"/>
          <w:szCs w:val="18"/>
        </w:rPr>
        <w:t xml:space="preserve">stránky společnosti na </w:t>
      </w:r>
      <w:hyperlink r:id="rId11" w:history="1">
        <w:r>
          <w:rPr>
            <w:rStyle w:val="Hyperlink1"/>
          </w:rPr>
          <w:t>www.cbre.cz</w:t>
        </w:r>
      </w:hyperlink>
      <w:r>
        <w:rPr>
          <w:rStyle w:val="dn"/>
          <w:rFonts w:ascii="Calibri" w:hAnsi="Calibri"/>
          <w:sz w:val="18"/>
          <w:szCs w:val="18"/>
        </w:rPr>
        <w:t>.</w:t>
      </w:r>
    </w:p>
    <w:sectPr w:rsidR="00553143">
      <w:headerReference w:type="default" r:id="rId12"/>
      <w:headerReference w:type="first" r:id="rId13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63361" w14:textId="77777777" w:rsidR="008773F5" w:rsidRDefault="008773F5">
      <w:r>
        <w:separator/>
      </w:r>
    </w:p>
  </w:endnote>
  <w:endnote w:type="continuationSeparator" w:id="0">
    <w:p w14:paraId="253BAB66" w14:textId="77777777" w:rsidR="008773F5" w:rsidRDefault="0087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4145B" w14:textId="77777777" w:rsidR="008773F5" w:rsidRDefault="008773F5">
      <w:r>
        <w:separator/>
      </w:r>
    </w:p>
  </w:footnote>
  <w:footnote w:type="continuationSeparator" w:id="0">
    <w:p w14:paraId="044232BA" w14:textId="77777777" w:rsidR="008773F5" w:rsidRDefault="0087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09F64" w14:textId="77777777" w:rsidR="00553143" w:rsidRDefault="004B6E7D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5279" w14:textId="77777777" w:rsidR="00553143" w:rsidRDefault="004B6E7D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DCAC579" wp14:editId="4706918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20957A2" w14:textId="77777777" w:rsidR="00553143" w:rsidRDefault="004B6E7D">
                          <w:pPr>
                            <w:ind w:left="180"/>
                          </w:pPr>
                          <w:r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CAC57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620957A2" w14:textId="77777777" w:rsidR="00553143" w:rsidRDefault="004B6E7D">
                    <w:pPr>
                      <w:ind w:left="180"/>
                    </w:pPr>
                    <w:r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43"/>
    <w:rsid w:val="0001062D"/>
    <w:rsid w:val="000124B7"/>
    <w:rsid w:val="0002356F"/>
    <w:rsid w:val="000559FC"/>
    <w:rsid w:val="0006531B"/>
    <w:rsid w:val="00085F50"/>
    <w:rsid w:val="000A37B0"/>
    <w:rsid w:val="00103108"/>
    <w:rsid w:val="00116E40"/>
    <w:rsid w:val="00140669"/>
    <w:rsid w:val="001F51F8"/>
    <w:rsid w:val="00276983"/>
    <w:rsid w:val="002D45E5"/>
    <w:rsid w:val="003233EA"/>
    <w:rsid w:val="003677EE"/>
    <w:rsid w:val="004121F5"/>
    <w:rsid w:val="00462B9A"/>
    <w:rsid w:val="004B5978"/>
    <w:rsid w:val="004B6E7D"/>
    <w:rsid w:val="00553143"/>
    <w:rsid w:val="005A4F6A"/>
    <w:rsid w:val="005F6A7C"/>
    <w:rsid w:val="00671093"/>
    <w:rsid w:val="006947F3"/>
    <w:rsid w:val="006976C4"/>
    <w:rsid w:val="006D55A0"/>
    <w:rsid w:val="00735559"/>
    <w:rsid w:val="0075241F"/>
    <w:rsid w:val="00777262"/>
    <w:rsid w:val="0078697A"/>
    <w:rsid w:val="00791D32"/>
    <w:rsid w:val="007C2374"/>
    <w:rsid w:val="0082300F"/>
    <w:rsid w:val="00825C54"/>
    <w:rsid w:val="008773F5"/>
    <w:rsid w:val="008B11F9"/>
    <w:rsid w:val="008C2F1D"/>
    <w:rsid w:val="008C68BD"/>
    <w:rsid w:val="00912576"/>
    <w:rsid w:val="00913DC2"/>
    <w:rsid w:val="00956FF3"/>
    <w:rsid w:val="00963075"/>
    <w:rsid w:val="00972F5E"/>
    <w:rsid w:val="009C61D7"/>
    <w:rsid w:val="00A06B20"/>
    <w:rsid w:val="00A66343"/>
    <w:rsid w:val="00AB22CD"/>
    <w:rsid w:val="00B224D7"/>
    <w:rsid w:val="00B540BD"/>
    <w:rsid w:val="00B6454F"/>
    <w:rsid w:val="00C271BF"/>
    <w:rsid w:val="00CB1E0D"/>
    <w:rsid w:val="00CF4DA1"/>
    <w:rsid w:val="00D42645"/>
    <w:rsid w:val="00D54391"/>
    <w:rsid w:val="00D66421"/>
    <w:rsid w:val="00DA1519"/>
    <w:rsid w:val="00DA745D"/>
    <w:rsid w:val="00DB5427"/>
    <w:rsid w:val="00DB6879"/>
    <w:rsid w:val="00DC581A"/>
    <w:rsid w:val="00DD0049"/>
    <w:rsid w:val="00DE0E80"/>
    <w:rsid w:val="00DF455D"/>
    <w:rsid w:val="00E16771"/>
    <w:rsid w:val="00E3227D"/>
    <w:rsid w:val="00E46A0B"/>
    <w:rsid w:val="00E87BA2"/>
    <w:rsid w:val="00E87C66"/>
    <w:rsid w:val="00EA0A16"/>
    <w:rsid w:val="00F248AE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4F8"/>
  <w15:docId w15:val="{FF7ADEB0-9592-4638-BFDF-0189001F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dn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F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F50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86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CBRE-News/626929170775263?ref=ts&amp;fref=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vlina.musilova1@cbre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bre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bre_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3585825?trk=tyah&amp;trkInfo=clickedVertical%2525253Acompany%2525252Cidx%2525253A1-1-1%2525252CtarId%2525253A1431360641868%2525252Ctas%2525253Acbre%25252520cze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E97D-E0B8-43A5-B1CC-DF64D61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Krus, Tomas @ PRAGUE</dc:creator>
  <cp:lastModifiedBy>Tereza Štosová</cp:lastModifiedBy>
  <cp:revision>2</cp:revision>
  <dcterms:created xsi:type="dcterms:W3CDTF">2019-12-18T12:57:00Z</dcterms:created>
  <dcterms:modified xsi:type="dcterms:W3CDTF">2019-12-18T12:57:00Z</dcterms:modified>
</cp:coreProperties>
</file>